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F-3998/2021 vom 3. März 2023</w:t>
      </w:r>
    </w:p>
    <w:p>
      <w:r>
        <w:t>Bundesverwaltungsgericht, 2023-03-03, IT</w:t>
      </w:r>
    </w:p>
    <w:p>
      <w:r>
        <w:rPr>
          <w:b/>
        </w:rPr>
        <w:t xml:space="preserve">Quelle: </w:t>
      </w:r>
      <w:r>
        <w:t>https://mcp.opencaselaw.ch/entscheid/bvger_F-3998_2021</w:t>
      </w:r>
    </w:p>
    <w:p>
      <w:r>
        <w:t>FR: TAF F-3998/2021 du 3 mars 2023</w:t>
      </w:r>
    </w:p>
    <w:p>
      <w:r>
        <w:t>IT: TAF F-3998/2021 del 3 marzo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6 luglio 2021,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(UE),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davanti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ricorrente ha presentato alla SEM una domanda di riesame del divieto d'entrata quindicennale che lo colpisce dal 23 novembre 2011, e che è valevole fino al 22 novembre 2026 (cfr. consid. F e J). La SEM è entrata nel merito della domanda, ma l'ha respinta. Il litigio verte dunque sulla questione di sapere se il respingimento della domanda di riesame è conforme al diritto.</w:t>
      </w:r>
    </w:p>
    <w:p>
      <w:r>
        <w:rPr>
          <w:b/>
        </w:rPr>
        <w:t>E. 4.1</w:t>
      </w:r>
    </w:p>
    <w:p>
      <w:r>
        <w:t>La procedura amministrativa distingue i rimedi giuridici ordinari da quelli straordinari. Contrariamente ai primi, i secondi sono rivolti contro decisioni formalmente cresciute in giudicato, le quali non possono quindi più essere impugnate con un rimedio giuridico ordinario, segnatamente se il termine di ricorso è scaduto inutilizzato. Nella categoria dei rimedi giuridici straordinari rientra, da un lato, la revisione, la cui domanda è esaminata dall'autorità di ricorso, per esempio il TAF (cfr. l'art. 66 cpv. 2 lett. a e cpv. 3 PA, nonché l'art. 123 cpv. 2 lett. a a contrario LTF, applicabile in virtù dell'art. 45 LTAF). Dall'altro lato, il riesame (riconsiderazione), che la giurisprudenza e la dottrina hanno derivato indirettamente dall'art. 66 PA e dagli artt. 8 e 29 cpv. 2 della Costituzione federale (Cost., RS 101), e la cui domanda, non sottoposta ad esigenze formali o di termine, deve essere presentata all'autorità amministrativa che ha emanato la decisione, ad esempio la SEM (cfr., per più dettagli, le DTF 143 III 272 consid. 2, 138 I 61 consid. 4.3 e 136 II 177 consid. 2, come pure le sentenze del TAF F-435/2021 del 14 marzo 2022 consid. 4.1, F-7048/2018 del 20 ottobre 2020 consid. 3.1 e F-1653/2019 del 12 dicembre 2019 consid. 4.1.1 con i riferimenti).</w:t>
      </w:r>
    </w:p>
    <w:p>
      <w:r>
        <w:rPr>
          <w:b/>
        </w:rPr>
        <w:t>E. 4.2</w:t>
      </w:r>
    </w:p>
    <w:p>
      <w:r>
        <w:t>Come qualsiasi misura presa dall'amministrazione, i divieti d'entrata possono essere riesaminati in presenza di elementi nuovi, pertinenti e sufficientemente importanti suscettibili di indurre la SEM a procedere ad un apprezzamento diverso, più favorevole all'interessato, della situazione che lo riguarda. È l'art. 67 cpv. 5 della legge federale sugli stranieri e la loro integrazione del 16 dicembre 2005 (LStrI, RS 142.20), secondo il quale la SEM può, in modo particolare per ragioni umanitarie o altri motivi gravi, sospendere un divieto d'entrata definitivamente o temporaneamente, che funge da base legale speciale per il riesame di un divieto d'entrata (cfr. la sentenza del Tribunale federale 2C_487/2012 del 2 aprile 2013 consid. 4.2, nonché la sentenza del TAF F-4634/2020 del 10 maggio 2021 consid. 5.1).</w:t>
      </w:r>
    </w:p>
    <w:p>
      <w:r>
        <w:rPr>
          <w:b/>
        </w:rPr>
        <w:t>E. 4.3</w:t>
      </w:r>
    </w:p>
    <w:p>
      <w:r>
        <w:t>Tra i motivi che possono giustificare il riesame di un divieto d'entrata, la giurisprudenza annovera il matrimonio con una persona o la nascita di un bambino che beneficiano di un diritto di rimanere in Svizzera accertato, rispettivamente del diritto potenziale che ne discende al raggruppamento familiare, l'ottenimento da parte dell'interessato della cittadinanza di uno Stato membro dell'UE o dell'Associazione europea di libero scambio (AELS), oppure il trascorrere di un intervallo di tempo di diversi anni durante il quale l'interessato ha fatto prova di un comportamento corretto (cfr. la sentenza del TAF F-1653/2019, già citata, consid. 4.1.5 e 4.2.1 con i riferimenti giurisprudenziali menzionati). Nondimeno, in una sentenza di principio del 2021, questo Tribunale ha puntualizzato che una condotta corretta avuta nel corso di un lasso di tempo protrattosi per più anni non costituisce, di per sé, un motivo che può condurre ad un riesame del divieto d'entrata se l'interessato non può prevalersi dell'Accordo tra la Svizzera e la Comunità europea, nonché i suoi Stati membri, sulla libera circolazione delle persone del 21 giugno 1999 (ALC, RS 0.142.112.681), in vigore dal 1° giungo 2002. Questa differenza di trattamento è giustificata dal fatto che la libera circolazione delle persone rappresenta un principio fondamentale dell'ordinamento giuridico dell'UE, la cui salvaguardia implica la necessità di procedere, entro un termine ragionevole, ad un apprezzamento attuale della situazione della persona colpita dal divieto d'entrata, e ciò allo scopo di stabilire se la minaccia per l'ordine e la sicurezza pubblici continui a sussistere e, nell'affermativi, in che misura. Un'altra ragione che giustifica questa differenza di trattamento consiste nel fatto che i divieti d'entrata in ambito ALC non possono riferirsi a motivi di prevenzione generale (cfr., per più dettagli, la DTAF 2021 VII/2 consid. 4.3 a 4.7 [F-2879/2020 del 16 marzo 2021] con i numerosi riferimenti giurisprudenziali).</w:t>
      </w:r>
    </w:p>
    <w:p>
      <w:r>
        <w:rPr>
          <w:b/>
        </w:rPr>
        <w:t>E. 5</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Il divieto d'entrata è pronunciato per una durata massima di cinque anni; può essere emanato per una durata più lunga se l'interessato costituisce un grave pericolo per l'ordine e la sicurezza pubblici (art. 67 cpv. 3 LStrI). In quest'ultimo caso, come stabilito dalla giurisprudenza, la durata del divieto d'entrata è suscettibile di essere fissata fino a quindici e, in caso di recidiva, anche fino a venti anni (cfr. DTAF 2014/20 consid. 7), purché l'interessato rappresenti una grave minaccia, ossia un "pericolo qualificato" ("menace caractérisée"), per l'ordine e la sicurezza pubblici svizzeri (cfr. DTF 139 II 121 consid. 5 e 6).</w:t>
      </w:r>
    </w:p>
    <w:p>
      <w:r>
        <w:rPr>
          <w:b/>
        </w:rPr>
        <w:t>E. 6</w:t>
      </w:r>
    </w:p>
    <w:p>
      <w:r>
        <w:t>In primo luogo, per sostanziare la sua domanda di riesame, il ricorrente fa valere che si è comportato in modo corretto per oltre quindici anni, non avendo più commesso reati dal 2003 - 2005 (cfr. consid. A, H e L), ciò che attesta producendo un estratto del casellario giudiziale della Repubblica del Kosovo con traduzione in italiano (cfr. ricorso, doc. S). Per questa ragione, a suo modo di vedere, il divieto d'entrata non avrebbe più giustificazione alcuna dal punto di vista della protezione dell'ordine e della sicurezza pubblici svizzeri (cfr. consid. L).</w:t>
      </w:r>
    </w:p>
    <w:p>
      <w:r>
        <w:rPr>
          <w:b/>
        </w:rPr>
        <w:t>E. 6.1</w:t>
      </w:r>
    </w:p>
    <w:p>
      <w:r>
        <w:t>A questo proposito si deve sottolineare che un comportamento corretto nell'arco di validità di un divieto d'entrata, fissata in funzione dell'esistenza e della gravità di una minaccia per l'ordine e la sicurezza pubblici, corrisponde al comportamento che ci si attende dall'interessato fino alla scadenza del provvedimento. In questo senso, un comportamento corretto nel corso della durata di un divieto d'entrata non costituisce di per sé, in generale, un motivo per riesaminare la misura, ciò che vale anche per il ricorrente (cfr. DTAF 2021 VII/2, sopra citata, consid. 4.4). D'altra parte, ammesso e concesso che il lasso di tempo concreto è senz'altro considerevole, va rilevato che il ricorrente non può prevalersi dell'ALC né direttamente (non è un cittadino dell'UE, ma di un paese terzo), né indirettamente (non è un membro della famiglia di un cittadino dell'UE), per cui, ad ogni modo, non gli è dato di invocare a proprio vantaggio il detto lasso di tempo come un motivo suscettibile di condurre ad un riesame del suo divieto d'entrata (cfr. DTAF 2021 VII/2, sopra citata, consid. 4.3; cfr. anche, mutatis mutandis, la sentenza del TAF F-435/2021, già citata, consid. 6.1). Peraltro, sempre in relazione alla durata del comportamento post delictum del ricorrente, non si può sottacere l'efferatezza del crimine "agghiacciante" da lui commesso con suo fratello nell'aprile 2005, le cui modalità sono state dipinte come "di una brutalità che difficilmente può trovare confronto", da cui la necessità di una "presa a carico globale educativa, sociale e psicoterapeutica a lungo termine con particolare attenzione alla formazione professionale: una presa a carico che dovrà sostenere, ma anche valutare, la possibile formazione di regole e valori interiori che potranno garantire il controllo delle emozioni, degli affetti e degli impulsi anche in mancanza di una rigida cornice esterna, pena una prognosi infausta, come sostenuto da almeno un perito" (cfr. la sentenza CM, pagg. 22, 35 e 36). Ora, in base alle informazioni che fornisce l'incarto, si deve constatare che il ricorrente ha sì acquisito la formazione di cuoco presso il FE di ..., esercitando questa professione à ... fino al suo allontanamento (cfr. ricorso, pagg. 4 e 5), ma che la "presa a carico a lungo termine" si è materializzata in magre sedici sedute di psicoterapia (cfr. consid. A), dopodiché, nel tempo rimastogli in Svizzera fino all'autunno 2011 e nel tempo che ha trascorso da allora in Kosovo, il ricorrente non ha più proseguito questo tipo di analisi terapeutica volta a contenere e sminuire, il più possibile, la sua pericolosità.</w:t>
      </w:r>
    </w:p>
    <w:p>
      <w:r>
        <w:rPr>
          <w:b/>
        </w:rPr>
        <w:t>E. 6.2</w:t>
      </w:r>
    </w:p>
    <w:p>
      <w:r>
        <w:t>Stando così le cose, questo Tribunale non ravvisa motivi di sorta per credere che il comportamento corretto del ricorrente dal 2009, quando è stato dimesso sotto sorveglianza dal FE di ..., fino ad oggi, privi il divieto d'entrata quindicennale, anche soltanto parzialmente, della sua ragion d'essere per la salvaguardia preventiva dell'ordine e della sicurezza pubblici svizzeri. Ne consegue che, in relazione al criterio di valutazione del comportamento corretto durante più anni, la domanda di riesame del divieto d'entrata va respinta.</w:t>
      </w:r>
    </w:p>
    <w:p>
      <w:r>
        <w:rPr>
          <w:b/>
        </w:rPr>
        <w:t>E. 7</w:t>
      </w:r>
    </w:p>
    <w:p>
      <w:r>
        <w:t>In secondo luogo il ricorrente fa valere che i suoi genitori, muniti di permessi C, e sua sorella, divenuta nel frattempo cittadina svizzera, e, soprattutto, suo figlio minorenne con la sua ex moglie svizzeri vivono, rispettivamente, nel Canton ... e nel Canton ... In questo quadro il ricorrente pretende che il mantenimento del divieto d'entrata costituirebbe una violazione sia dell'art. 8 della Convenzione europea dei diritti dell'uomo del 4 novembre 1950 (CEDU, RS 0.101), che salvaguardia il diritto al rispetto della vita privata e familiare, sia dell'art. 3 della Convenzione sui diritti del fanciullo del 20 novembre 1989 (CDF, RS 0.107), che tutela "l'interesse superiore del fanciullo" (cfr. ricorso, pagg. 7 a 9). Altrimenti detto, secondo il ricorrente, il mantenimento del divieto d'entrata oltre il 22 novembre 2021 violerebbe il principio di proporzionalità (cfr. consid. L).</w:t>
      </w:r>
    </w:p>
    <w:p>
      <w:r>
        <w:rPr>
          <w:b/>
        </w:rPr>
        <w:t>E. 7.1</w:t>
      </w:r>
    </w:p>
    <w:p>
      <w:r>
        <w:t>Tenuto conto dell'oggetto del litigio va rimarcato che, sebbene il ricorrente sembri legare la sua domanda di riesame del divieto d'entrata al suo desiderio di "vivere insieme ai genitori e a mia sorella [...] e per dedicarmi all'educazione e alla cura di mio figlio" (cfr. consid. H), non si pone alcuna questione relativa al cosiddetto ricongiungimento familiare "inverso" o "alla rovescia", ossia al diritto del figlio svizzero minorenne di ottenere un permesso di ricongiungimento familiare per suo padre e/o sua madre (cfr., tra le tante, le DTF 147 I 149 e 140 I 145). Nondimeno, nell'ottica del riesame è opportuno rilevare che il divieto d'entrata del 23 novembre 2011 è stato emanato quando il figlio del ricorrente aveva suppergiù un anno e nove mesi (cfr. consid. C e F), e che, al momento della pronuncia della decisione qui impugnata, egli aveva undici anni e un mese circa. Un'analisi del divenire del rapporto padre - figlio durante questo periodo decennale, alla luce degli effetti del divieto d'entrata su di esso (proporzionalità), è quindi pertinente sotto il profilo dell'art. 8 CEDU e della CDF, come del resto suggerisce la SEM affermando, in modo succinto, che "la misura, [...], è conforme tanto all'art. 8 CEDU che alla Convenzione sui diritti del fanciullo. Le ripercussioni sulle modalità del rapporto con il figlio, [...], sono proporzionate" (decisione impugnata, pag. 3). Beninteso, il solo fatto che il ricorrente non possa visitare i suoi cari in Svizzera a causa del divieto d'entrata non significa però che esso sia sproporzionato, altrimenti ogni divieto d'entrata nei confronti di persone con familiari in Svizzera sarebbe, di per sé, inammissibile ("unzulässig": cfr. la sentenza del Tribunale federale 2C_270/2015 del 6 agosto 2015 consid. 8.2; cfr. anche la sentenza TAF F-1410/2019 del 25 marzo 2021 consid. 7.3.5).</w:t>
      </w:r>
    </w:p>
    <w:p>
      <w:r>
        <w:rPr>
          <w:b/>
        </w:rPr>
        <w:t>E. 7.2</w:t>
      </w:r>
    </w:p>
    <w:p>
      <w:r>
        <w:t>L'art. 8 par. 1 CEDU, che non garantisce né il diritto di entrata né il diritto di residenza in un determinato Stato (cfr. le sentenze CorteEDU - El Ghatet c. Svizzera, n. 56971/10, 8 novembre 2016, § 44, e Kissiwa Koffi c. Svizzera, n. 38005/07, 15 novembre 2012, §§ 56 e 62, nonché le DTF 144 I 91 consid. 4.2, 143 I 21 consid. 5.1, 140 I 145 consid. 3.1 e 139 I 330 consid. 2.1 con i rinvii), può essere invocato da uno straniero se egli intrattiene una relazione stretta, effettiva ed intatta, con una persona della sua famiglia che beneficia di un diritto di presenza duraturo in Svizzera. In questo senso sono protetti, segnatamente, i rapporti tra i coniugi, nonché quelli tra genitori e figli minorenni che vivono in comunione; a titolo eccezionale, se sussiste un particolare rapporto di dipendenza tra loro, sono presi in considerazione anche i rapporti tra genitori e figli maggiorenni (cfr. le DTF 140 I 77 consid. 5.2, 137 I 113 consid. 6.1 e 129 II 11 consid. 2). Cionondimeno, l'art. 8 par. 2 CEDU permette un'ingerenza statale nell'esercizio del diritto al rispetto della vita privata e familiare se tale ingerenza è prevista dalla legge, persegue uno scopo legittimo ed è necessaria, in particolare, alla sicurezza pubblica e alla prevenzione dei reati in una società democratica. Sono necessarie in una società democratica le ingerenze che si rivelano "justifiées par un besoin social impérieux et, notamment, proportionnées au but légitime poursuivi" (sentenza della CorteEDU - Kissiwa Koffi c. Svizzera, sopracitata, § 62 con i riferimenti). Dal canto suo, in relazione all'art. art. 3 par. 1 CDF, il quale esige che "in tutte le decisioni relative ai fanciulli, di competenza sia delle istituzioni pubbliche o private di assistenza sociale, dei tribunali, delle autorità amministrative o degli organi legislativi, l'interesse superiore del fanciullo deve essere una considerazione permanente", questo Tribunale ha ribadito che l'interesse del minore ad intrattenere rapporti con entrambi i genitori deve essere considerato prioritario nell'ambito della ponderazione degli interessi in gioco, precisando tuttavia che all'interesse superiore del minore non può essere attribuita una priorità assoluta (cfr. le DTAF 2013/4 consid. 7.4.4 e 2014/20 consid. 8.3.6).</w:t>
      </w:r>
    </w:p>
    <w:p>
      <w:r>
        <w:rPr>
          <w:b/>
        </w:rPr>
        <w:t>E. 7.3</w:t>
      </w:r>
    </w:p>
    <w:p>
      <w:r>
        <w:t>Per cominciare è opportuno rammentare che il ricorrente non ha impugnato né il divieto d'entrata di durata indeterminata emanato dall'UFM il 23 novembre 2011, né il divieto d'entrata quindicennale sostitutivo emesso dalla SEM il 22 marzo 2016 (cfr. consid. F e J), omettendo quindi di avvalersi dei relativi rimedi giuridici ordinari (cfr. consid. 2). A ben vedere si tratta di una negligenza procedurale, date le caratteristiche delle due categorie di rimedi giuridici, per la quale il ricorrente può biasimare solo sé stesso (cfr. consid. 4). Inoltre, la revoca del suo permesso di domicilio da parte dell'UMCT, avvenuta il 27 gennaio 2010, è cresciuta in giudicato dopo sentenza finale del Tribunale federale, del 18 aprile 2011 (cfr. consid. B e D). Peraltro, il DEC... si è rifiutato di concedergli un permesso di soggiorno il 12 agosto 2011 (cfr. consid. E). Questo per dire che il vero motivo per cui il ricorrente non può ricongiungersi con la sua famiglia è da ricercarsi nel fatto che non dispone di un permesso di soggiorno, e non nel fatto che è colpito dal divieto d'entrata di cui chiede il riesame.</w:t>
      </w:r>
    </w:p>
    <w:p>
      <w:r>
        <w:rPr>
          <w:b/>
        </w:rPr>
        <w:t>E. 7.4</w:t>
      </w:r>
    </w:p>
    <w:p>
      <w:r>
        <w:t>Per quanto attiene ai suoi genitori, muniti di permessi C, e a sua sorella, cittadina svizzera, il ricorrente non può prevalersi dell'art. 8 par. 1 CEDU nell'intento di ottenere un riesame del divieto d'entrata, e ciò per il fatto che si tratta di adulti e che, inoltre, tra loro non sussiste un particolare rapporto di dipendenza (cfr. consid. 7.2).</w:t>
      </w:r>
    </w:p>
    <w:p>
      <w:r>
        <w:rPr>
          <w:b/>
        </w:rPr>
        <w:t>E. 7.5</w:t>
      </w:r>
    </w:p>
    <w:p>
      <w:r>
        <w:t>Riguardo alla nascita del figlio del ricorrente e al suo matrimonio si deve rilevare che questi due fatti sono accaduti prima del rilascio del divieto d'entrata (cfr. consid. C), di cui l'UFM ha tenuto conto per fissare la durata della misura (cfr. consid. F). In questo senso, essi non sono elementi nuovi che possono giustificare il riesame del divieto d'entrata (cfr. consid. 4.2 e 4.3). Quanto al divorzio, esso è sì intervenuto dopo l'emissione del divieto d'entrata (cfr. consid. I), ma è un elemento negativo che parla piuttosto a sfavore della richiesta di riesame. È invece determinante, come accennato in precedenza (cfr. consid. 7.1), lo sviluppo nel corso degli ultimi dieci anni e lo stato attuale del rapporto tra il ricorrente e suo figlio. In proposito, in una relazione medica del 23 novembre 2011, il "Centre ... de psychiatrie" (C...P) già riferiva, tra le altre cose, che il figlioletto del ricorrente visitava "de temps à autre" i suoi nonni in ..., che egli "garde ainsi contact avec sa famille du côté paternel" e che "l'évaluation atteste que l'enfant se développe harmonieusement", concludendo che "nous pourrions toutefois souhaiter que l'enfant puisse revoir de temps à autre son père, afin que les liens puissent être favorisés" (cfr. incarto SEM, pagg. 152 a 154). Dal canto suo, nell'attestazione medica del 10 marzo 2022, allegata alla replica, il CMC constata, come già rammentato in precedenza, che "malgré la distance physique entre [...] et son papa, ils ont pu créer et maintenir un lien très fort entre eux depuis de nombreuses années", aggiungendo che "il est souhaitable voire même nécessaire, que le papa de [...] puisse venir plus souvent le voir en Suisse" (cfr. consid. O). Ora, sulla base di questi apprezzamenti medici, si può senz'altro affermare che, sebbene il divieto d'entrata restringa il diritto al rispetto della sua vita familiare, complicandone l'esercizio a causa della separazione geografica, e rappresenta quindi un'ingerenza statale ai sensi dell'art. 8 par. 2 CEDU, il ricorrente è stato in grado di creare e mantenere una relazione solida, intensa ed effettiva con suo figlio, ormai dodicenne, sostenuta e rafforzata dalla presenza in Svizzera dei nonni paterni. In altri termini, il divieto d'entrata, malgrado la sua lunga durata, non sembra aver esplicato e non sembra esplicare, come misura conseguente alla revoca del permesso di domicilio, effetti oltremodo negativi sul sussistere e il divenire del rapporto del ricorrente con suo figlio. Questo significa che il divieto d'entrata, che è previsto dalla LStrI e che persegue lo scopo legittimo di difendere l'ordine pubblico e prevenire i reati in Svizzera, continua ad essere proporzionato alle circostanze della fattispecie. Di riflesso, l'interesse superiore del figlio del ricorrente, ponderato con l'interesse pubblico in gioco, è pure garantito, nella misura in cui il divieto d'entrata non ha turbato fin qui, secondo i dati medici disponibili, il suo sviluppo armonioso.</w:t>
      </w:r>
    </w:p>
    <w:p>
      <w:r>
        <w:rPr>
          <w:b/>
        </w:rPr>
        <w:t>E. 7.6</w:t>
      </w:r>
    </w:p>
    <w:p>
      <w:r>
        <w:t>Pertanto, alla luce degli argomenti sopraesposti, questo Tribunale considera che il divieto d'entrata quindicennale è tuttora proporzionato, dimodoché, anche sotto questo aspetto, la domanda di riesame del ricorrente va respinta.</w:t>
      </w:r>
    </w:p>
    <w:p>
      <w:r>
        <w:rPr>
          <w:b/>
        </w:rPr>
        <w:t>E. 8</w:t>
      </w:r>
    </w:p>
    <w:p>
      <w:r>
        <w:t>In conclusione, rifiutandosi di revocare il divieto d'entrata litigioso o di ridurne la durata, la SEM non ha infranto né il diritto federale né il diritto internazionale. Ne discende che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