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F-3990/2020 vom 14. August 2020</w:t>
      </w:r>
    </w:p>
    <w:p>
      <w:r>
        <w:t>Bundesverwaltungsgericht, 2020-08-14, DE</w:t>
      </w:r>
    </w:p>
    <w:p>
      <w:r>
        <w:rPr>
          <w:b/>
        </w:rPr>
        <w:t xml:space="preserve">Quelle: </w:t>
      </w:r>
      <w:r>
        <w:t>https://mcp.opencaselaw.ch/entscheid/bvger_F-3990_2020</w:t>
      </w:r>
    </w:p>
    <w:p>
      <w:r>
        <w:t>FR: TAF F-3990/2020 du 14 août 2020</w:t>
      </w:r>
    </w:p>
    <w:p>
      <w:r>
        <w:t>IT: TAF F-3990/2020 del 14 agosto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4</w:t>
      </w:r>
    </w:p>
    <w:p>
      <w:r>
        <w:t>Die grundsätzliche (Wiederaufnahme-) Zuständigkeit Deutschlands zur Durchführung des Asyl- und Wegweisungsverfahrens des Beschwerdeführers ist vorliegend gegeben und unbestritten (Art. 18 Abs. 1 Bst. d Dublin-III-VO; Art. 23 Dublin-III-VO). Zu prüfen bleibt, ob die Vorinstanz in Anwendung der Souveränitätsklausel von ihrem Selbsteintrittsrecht hätte Gebrauch machen müssen.</w:t>
      </w:r>
    </w:p>
    <w:p>
      <w:r>
        <w:rPr>
          <w:b/>
        </w:rPr>
        <w:t>E. 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Gegen seine Überstellung nach Deutschland trägt der Beschwerdeführer einzig und sinngemäss vor, die Verfügung der Vorinstanz sei sein "Todesurteil" ("death sentence").</w:t>
      </w:r>
    </w:p>
    <w:p>
      <w:r>
        <w:rPr>
          <w:b/>
        </w:rPr>
        <w:t>E. 4.2.1</w:t>
      </w:r>
    </w:p>
    <w:p>
      <w:r>
        <w:t>Seinen eigenen Angaben im Dublin-Gespräch vom 17. Juli 2020 zufolge hat der Beschwerdeführer in Deutschland bereits zweimal einen negativen Asylentscheid erhalten. In Kombination mit der Bezeichnung der angefochtenen Verfügung als Todesurteil ist daher auf seine Argumentation zu schliessen, Deutschland werde ihn in seinen Heimatstaat Afghanistan wegweisen, wo er an Leib und Leben gefährdet sei.</w:t>
      </w:r>
    </w:p>
    <w:p>
      <w:r>
        <w:rPr>
          <w:b/>
        </w:rPr>
        <w:t>E. 4.2.2</w:t>
      </w:r>
    </w:p>
    <w:p>
      <w:r>
        <w:t>Zutreffend führt die Vorinstanz aus, dass es an den deutschen Behörden liegt, sich mit dieser behaupteten Gefährdungslage in Afghanistan auseinanderzusetzen. Es liegt in der alleinigen Zuständigkeit Deutschlands Asylgründe und Wegweisungsvollzugshindernisse betreffend den Beschwerdeführer und seine Rückführung nach Afghanistan zu prüfen. Deutschland bleibt auch im Falle eines negativen Asylentscheids für die Wegweisung des Beschwerdeführers aus dem Dublin-Raum zuständig (Prinzip der Überprüfung eines Asylgesuchs durch einen einzigen Mitgliedstaat ["one chance only"]; vgl. BVGE 2017 VI/5 E. 8.5.3.3).</w:t>
      </w:r>
    </w:p>
    <w:p>
      <w:r>
        <w:rPr>
          <w:b/>
        </w:rPr>
        <w:t>E. 4.2.3</w:t>
      </w:r>
    </w:p>
    <w:p>
      <w:r>
        <w:t>Ein definitiver Entscheid über ein Asylgesuch und die Wegweisung ins Heimatland stellen nicht per se eine Verletzung des Non-Refoulement-Prinzips dar (BVGE 2017 VI/5 E. 8.5.3.3). Vielmehr kann davon ausgegangen werden, dass Deutschland seinen völkerrechtlichen Pflichten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nachkommt (statt vieler: Urteil des BVGer F-3812/2020 vom 4. August 2020 E. 5.2.2). Vorliegend ist auch nicht zu befürchten, dass sich Deutschland nicht an die Richtlinien des Europäischen Parlaments und des Rates 2013/32/EU vom 26. Juni 2013 zu gemeinsamen Verfahren für die Zuerkennung und Aberkennung des internationalen Schutzes (sog. Verfahrensrichtlinie) halten und ihn in Missachtung des Grundsatzes des Non-Refoulement zur Ausreise nach Afghanistan oder in ein anderes Land zwingen könnte, in dem sein Leib, sein Leben oder seine Freiheit aus einem Grund nach Art. 3 Abs. 1 AsylG gefährdet ist oder in dem er Gefahr laufen würde, zur Ausreise in ein solches Land gezwungen zu werden. Indizien dafür, dass das Asylverfahren des Beschwerdeführers in Deutschland mangelhaft gewesen wäre, sind vorliegend keine ersichtlich. Solche ergeben sich insbesondere auch nicht aus der vom Beschwerdeführer ins Recht gelegten Niederschrift über die Asylanhörung in Deutschland vom 24. Februar 2017 (SEM-act. 15).</w:t>
      </w:r>
    </w:p>
    <w:p>
      <w:r>
        <w:rPr>
          <w:b/>
        </w:rPr>
        <w:t>E. 4.2.4</w:t>
      </w:r>
    </w:p>
    <w:p>
      <w:r>
        <w:t>Sodann ist darauf hinzuweisen, dass die deutschen Behörden dem Beschwerdeführer eine seit eineinhalb Jahren und zumindest bis zum 14. September 2020 gültige "Duldung" erteilt und seine Abschiebung ausgesetzt haben. Wenngleich die Gründe für das Aussetzen der Abschiebung vorliegend nicht im Detail bekannt sind, zeigt dies doch auf, dass die deutschen Behörden Hindernisse bei der Überstellung nach Afghanistan prüfen und berücksichtigen.</w:t>
      </w:r>
    </w:p>
    <w:p>
      <w:r>
        <w:rPr>
          <w:b/>
        </w:rPr>
        <w:t>E. 4.3.1</w:t>
      </w:r>
    </w:p>
    <w:p>
      <w:r>
        <w:t>Was den medizinischen Sachverhalt anbetrifft, so kann dem fachärztlichen Bericht vom 14. Juli 2020 (richtig wohl von Anfang August 2020 datierend) entnommen werden, dass der Beschwerdeführer kürzlich einen Nervenzusammenbruch erlitten hat und an einer schweren depressiven Episode (ICD-10 F.32.2) mit begleitender Angstsymptomatik leidet. Am 3. August 2020 hat der Beschwerdeführer daher das Medikament Temester verschrieben bekommen, wobei ein Wechsel auf eine vierwöchige Einnahme von Olanpax im Raume steht (SEM-act. 23).</w:t>
      </w:r>
    </w:p>
    <w:p>
      <w:r>
        <w:rPr>
          <w:b/>
        </w:rPr>
        <w:t>E. 4.3.2</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4.3.3</w:t>
      </w:r>
    </w:p>
    <w:p>
      <w:r>
        <w:t>Zwar leidet der Beschwerdeführer an einer gravierenden psychischen Beeinträchtigung. Diese ist indes nicht derart schwer, dass von einer Überstellung nach Deutschland abgesehen werden müsste. Deutschland verfügt zweifellos über eine ausreichende medizinische Infrastruktur (statt vieler: Urteil des BVGer E-3703/2020 vom 29. Juli 2020 E. 7.1.2). Ausserdem begab sich der Beschwerdeführer dort bereits einmal in ärztliche Behandlung, lehnte eine Medikation jedoch ab. Eine adäquate Behandlung der gesundheitlichen Probleme des Beschwerdeführers in Deutschland ist daher gewährleistet (vgl. auch Urteile des BVGer F-2626/2020 vom 3. Juni 2020 E. 4.3.2; D-1127/2020 vom 2. April 2020 E. 8.4.3; D-5824/2019 vom 12. November 2019). Davon ist auch dann auszugehen, wenn das Asylverfahren des Beschwerdeführers in Deutschland bereits negativ entschieden worden ist.</w:t>
      </w:r>
    </w:p>
    <w:p>
      <w:r>
        <w:rPr>
          <w:b/>
        </w:rPr>
        <w:t>E. 4.3.4</w:t>
      </w:r>
    </w:p>
    <w:p>
      <w:r>
        <w:t>Die schweizerischen Behörden, die mit dem Vollzug der angefochtenen Verfügung beauftragt sind, werden den medizinischen Umständen bei der Bestimmung der konkreten Modalitäten der Überstellung Rechnung tragen und die deutschen Behörden vorgängig in geeigneter Weise über die spezifischen gesundheitlichen Beeinträchtigungen und Bedürfnisse informieren (vgl. Art. 31 f. Dublin-III-VO). Medikamente können dem Beschwerdeführer auf Vorrat abgegeben werden.</w:t>
      </w:r>
    </w:p>
    <w:p>
      <w:r>
        <w:rPr>
          <w:b/>
        </w:rPr>
        <w:t>E. 4.4</w:t>
      </w:r>
    </w:p>
    <w:p>
      <w:r>
        <w:t>Im Übrigen kommt der Vorinstanz bei der Anwendung von Art. 29a Abs. 3 AsylV 1 Ermessen zu (vgl. BVGE 2015/9 E. 7 f.). Der Sachverhalt erweist sich vorliegend als hinreichend abgeklärt. Von einer Rückweisung der Sache zur ergänzenden Sachverhaltsabklärung ist abzusehen, zumal der Beschwerdeführer seinem Rückweisungsantrag keinerlei Begründung beifügt. Den Akten sind keine Hinweise auf eine gesetzeswidrige Ermessensausübung (Art. 106 Abs. 1 Bst. a AsylG) durch die Vorinstanz zu entnehmen. Es besteht daher kein Grund für eine Anwendung der Ermessensklauseln von Art. 17 Dublin-III-VO und Art. 29a Abs. 3 AsylV 1. Somit bleibt es bei der Zuständigkeit Deutschlands für die Durchführung des Asyl- und Wegweisungsverfahrens.</w:t>
      </w:r>
    </w:p>
    <w:p>
      <w:r>
        <w:rPr>
          <w:b/>
        </w:rPr>
        <w:t>E. 5</w:t>
      </w:r>
    </w:p>
    <w:p>
      <w:r>
        <w:t>Es ergibt sich, dass Deutschland für die Durchführung des Asyl- und Wegweisungsverfahrens des Beschwerdeführers zuständig ist. Zu Recht ist die Vorinstanz in Anwendung von Art. 31a Abs. 1 Bst. b AsylG auf das Asylgesuch nicht eingetreten und hat in Anwendung von Art. 44 AsylG die Überstellung nach Deutschland angeordnet (Art. 32 Bst. a AsylV 1). Die Beschwerde ist abzuweisen. Der Antrag auf Gewährung der aufschiebenden Wirkung erweist sich mit der Ausfällung des vorliegenden Urteils als gegenstandslos.</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