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F-3980/2016 vom 21. Oktober 2016</w:t>
      </w:r>
    </w:p>
    <w:p>
      <w:r>
        <w:t>Bundesverwaltungsgericht, 2016-10-21, DE</w:t>
      </w:r>
    </w:p>
    <w:p>
      <w:r>
        <w:rPr>
          <w:b/>
        </w:rPr>
        <w:t xml:space="preserve">Quelle: </w:t>
      </w:r>
      <w:r>
        <w:t>https://mcp.opencaselaw.ch/entscheid/bvger_F-3980_2016</w:t>
      </w:r>
    </w:p>
    <w:p>
      <w:r>
        <w:t>FR: TAF F-3980/2016 du 21 octobre 2016</w:t>
      </w:r>
    </w:p>
    <w:p>
      <w:r>
        <w:t>IT: TAF F-3980/2016 del 21 ottobre 2016</w:t>
      </w:r>
    </w:p>
    <w:p>
      <w:pPr>
        <w:pStyle w:val="Heading2"/>
      </w:pPr>
      <w:r>
        <w:t>Regeste</w:t>
      </w:r>
    </w:p>
    <w:p>
      <w:r>
        <w:t>Vermögenswertabnahme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endgültig (Art. 105 AsylG [SR 142.31] i.V.m. Art. 31 - 33 VGG; Art. 83 Bst. d Ziff. 1 BGG).</w:t>
      </w:r>
    </w:p>
    <w:p>
      <w:r>
        <w:rPr>
          <w:b/>
        </w:rPr>
        <w:t>E. 1.2</w:t>
      </w:r>
    </w:p>
    <w:p>
      <w:r>
        <w:t>Das Verfahren richtet sich nach dem VwVG, soweit das VGG und das AsylG nichts anderes bestimmen (Art. 37 VGG und Art. 6 AsylG).</w:t>
      </w:r>
    </w:p>
    <w:p>
      <w:r>
        <w:rPr>
          <w:b/>
        </w:rPr>
        <w:t>E. 1.3</w:t>
      </w:r>
    </w:p>
    <w:p>
      <w:r>
        <w:t>Der Beschwerdeführer hat am Verfahren der Vorinstanz teilgenommen, ist durch die angefochtene Verfügung besonders berührt und hat ein schutzwürdiges Interesse an deren Aufhebung. Er ist daher beschwerdelegitimiert (Art. 48 Abs. 1 VwVG). Auf die frist- und formgerecht eingereichte Beschwerde ist einzutreten (Art. 108 Abs. 1 AsylG und Art. 52 Abs. 1 VwVG).</w:t>
      </w:r>
    </w:p>
    <w:p>
      <w:r>
        <w:rPr>
          <w:b/>
        </w:rPr>
        <w:t>E. 2</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wobei nur eine summarische Begründung erfolgt (Art. 111a Abs. 2 AsylG). Das Bundesverwaltungsgericht kann auf die Durchführung eines Schriftenwechsels verzichten (Art. 111a Abs. 1 AsylG). Wie sich aus den nachfolgenden Erwägungen ergibt, ist die vorliegende Beschwerde offensichtlich unbegründet.</w:t>
      </w:r>
    </w:p>
    <w:p>
      <w:r>
        <w:rPr>
          <w:b/>
        </w:rPr>
        <w:t>E. 4</w:t>
      </w:r>
    </w:p>
    <w:p>
      <w:r>
        <w:t>Sozialhilfe-, Ausreise- und Vollzugskosten sowie die Kosten des Rechtsmittelverfahrens sind - soweit zumutbar - mittels Sonderabgabe zurückzuerstatten (Art. 85 Abs. 1 AsylG). Bei erwerbstätigen Asylsuchenden und Schutzbedürftigen ohne Aufenthaltsbewilligung erfolgt die Rückerstattung durch eine Sonderabgabe aus dem Erwerbseinkommen (Art. 86 Abs. 1 AsylG).</w:t>
      </w:r>
    </w:p>
    <w:p>
      <w:r>
        <w:rPr>
          <w:b/>
        </w:rPr>
        <w:t>E. 4.1</w:t>
      </w:r>
    </w:p>
    <w:p>
      <w:r>
        <w:t>Asylsuchende und Schutzbedürftige ohne Aufenthaltsbewilligung müssen ihre Vermögenswerte, die nicht aus ihrem Erwerbseinkommen stammen, offenlegen (Art. 87 Abs. 1 AsylG). Die zuständigen Behörden können solche Vermögenswerte zum Zwecke der Rückerstattung nach Art. 85 Abs. 1 AsylG sicherstellen, wenn die Betroffenen nicht nachweisen können, dass die Vermögenswerte aus Erwerbs- oder Erwerbsersatzeinkommen oder aus öffentlichen Sozialhilfeleistungen stammen (Art. 87 Abs. 2 Bst. a AsylG), die (sonstige) Herkunft nicht nachweisen können (Art. 87 Abs. 2 Bst. b AsylG) oder die Herkunft der Vermögenswerte zwar nachweisen können, diese aber einen vom Bundesrat festzusetzenden Betrag (aktuell Fr. 1000.-) übersteigen (Art. 87 Abs. 2 Bst. c AsylG i.V.m. Art. 16 Abs. 4 der Asylverordnung 2 vom 11. August 1999 [AsylV 2, SR 142.312]).</w:t>
      </w:r>
    </w:p>
    <w:p>
      <w:r>
        <w:rPr>
          <w:b/>
        </w:rPr>
        <w:t>E. 4.2</w:t>
      </w:r>
    </w:p>
    <w:p>
      <w:r>
        <w:t>Als Vermögenswerte nach Art. 87 AsylG gelten Geldbeträge, geldwerte Gegenstände und unkörperliche Werte wie Bankguthaben (Art. 16 Abs. 1 AsylV 2). Ebenso wie die Aufnahme einer Erwerbstätigkeit begründet die erste Vermögenswertabnahme - ab Rechtskraft der entsprechenden Verfügung - die Sonderabgabepflicht (Art. 10 Abs. 1 AsylV 2). Die abgenommenen Vermögenswerte werden in vollem Umfang an die zu leistende Sonderabgabe angerechnet (Art. 17 AsylV 2).</w:t>
      </w:r>
    </w:p>
    <w:p>
      <w:r>
        <w:rPr>
          <w:b/>
        </w:rPr>
        <w:t>E. 4.3</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Gibt es demgegenüber von vornherein offensichtliche Widersprüche oder Ungereimtheiten, so darf auch ohne zusätzliche Abklärungen geschlussfolgert werden, der erforderliche Nachweis sei nicht erbracht worden (vgl. insgesamt: Urteile des Bundesverwaltungsgerichts F-6689/2015 vom 22. September 2016 E. 3.5 sowie D-3445/2016 vom 13. Juni 2016 E. 5.1, jeweils m.H.).</w:t>
      </w:r>
    </w:p>
    <w:p>
      <w:r>
        <w:rPr>
          <w:b/>
        </w:rPr>
        <w:t>E. 5</w:t>
      </w:r>
    </w:p>
    <w:p>
      <w:r>
        <w:t>Aufgrund der vorstehenden Erwägungen erscheint die Einschätzung des SEM, der Beschwerdeführer habe die Herkunft der ihm abgenommenen Geldbeträge im Gesamtwert von Fr. 1'314.25 nicht glaubhaft nachgewiesen, zutreffend: Die Vorinstanz hat zurecht darauf hingewiesen, dass seine Angaben bei der Befragung vom 8. April 2016 (Sachverhalt B) und seine Erklärung im Schreiben vom 26. April 2016 (Sachverhalt C) widersprüchlich seien. Der Beschwerdeführer hat in seiner Rechtsmitteleingabe vom 2. Juni 2016 lediglich weitere Angaben zur Herkunft des Geldes gemacht (Sachverhalt E). Die Beschwerde enthält somit keine stichhaltigen Entgegnungen, welche die angefochtene Verfügung in Frage stellen könnten. Sie führt vielmehr zu weiteren offensichtlichen Widersprüchen bezüglich der Herkunft der sichergestellten Vermögenswerte.</w:t>
      </w:r>
    </w:p>
    <w:p>
      <w:r>
        <w:rPr>
          <w:b/>
        </w:rPr>
        <w:t>E. 6</w:t>
      </w:r>
    </w:p>
    <w:p>
      <w:r>
        <w:t>Demzufolge verletzt die angefochtene Verfügung Bundesrecht nicht; der ihr zugrunde liegende rechtserhebliche Sachverhalt wurde richtig und vollständig festgestellt (vgl. Art. 106 Abs. 1 AsylG). Die Beschwerde ist daher abzuweisen.</w:t>
      </w:r>
    </w:p>
    <w:p>
      <w:r>
        <w:rPr>
          <w:b/>
        </w:rPr>
        <w:t>E. 7</w:t>
      </w:r>
    </w:p>
    <w:p>
      <w:r>
        <w:t>Bei diesem Ausgang des Verfahrens sind die Kosten dem Beschwerdeführer aufzuerlegen (Art. 63 Abs. 1 VwVG) und auf insgesamt Fr. 200.- festzusetzen (Art. 1 - 4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