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F-3964/2020 vom 1. März 2023</w:t>
      </w:r>
    </w:p>
    <w:p>
      <w:r>
        <w:t>Bundesverwaltungsgericht, 2023-03-01, IT</w:t>
      </w:r>
    </w:p>
    <w:p>
      <w:r>
        <w:rPr>
          <w:b/>
        </w:rPr>
        <w:t xml:space="preserve">Quelle: </w:t>
      </w:r>
      <w:r>
        <w:t>https://mcp.opencaselaw.ch/entscheid/bvger_F-3964_2020</w:t>
      </w:r>
    </w:p>
    <w:p>
      <w:r>
        <w:t>FR: TAF F-3964/2020 du 1 mars 2023</w:t>
      </w:r>
    </w:p>
    <w:p>
      <w:r>
        <w:t>IT: TAF F-3964/2020 del 1 marzo 2023</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7 luglio 2020,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7 luglio 2020, pronunciante un divieto d'entrata in Svizzera e nel Liechtenstein di sette anni (7.7.2020 - 6.7.2027), di cui il ricorrente chiede l'annullamento o la riduzione della durata ad un anno.</w:t>
      </w:r>
    </w:p>
    <w:p>
      <w:r>
        <w:rPr>
          <w:b/>
        </w:rPr>
        <w:t>E. 4</w:t>
      </w:r>
    </w:p>
    <w:p>
      <w:r>
        <w:t>L'ALC è applicabile ratione temporis, ratione personae e ratione materiae alla fattispecie, nella misura in cui il ricorrente, come cittadino italiano, gode dal 1° giugno 2002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sette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6.1</w:t>
      </w:r>
    </w:p>
    <w:p>
      <w:r>
        <w:t>Prima di procedere all'analisi del merito del ricorso è doveroso fare una puntualizzazione sullo svolgimento del procedimento amministrativo da parte della SEM sotto il profilo del diritto di essere sentito in quanto garanzia formale di rango costituzionale (cfr. gli artt. 29 della Costituzione federale [Cost., RS 101] e 30 cpv. 1 PA; cfr., tra le tante, DTF 141 II 28 consid. 3.2.4, 139 V 496 consid. 5.1, 139 IV 179 consid. 2.2, 138 I 232 consid. 5.1, 138 III 225 consid. 3.3 nonché 137 I 195 consid. 2.2 e 2.3.2 con i rinvii; cfr. anche DTAF 2013/46 consid. 6.3.7 e 2012/24 consid. 3.4 con i riferimenti). Infatti, benché il ricorrente non abbia formulato alcuna censura in proposito, questo Tribunale deve constatare che la SEM non l'ha sentito prima di emanare il divieto d'entrata il 7 luglio 2020, come invece esige l'art. 30 cpv. 1 PA (audizione preliminare), e che ha pure rinunciato a notificarglielo, malgrado il contenuto dell'art. 34 cpv. 1 PA (obbligo di notifica).</w:t>
      </w:r>
    </w:p>
    <w:p>
      <w:r>
        <w:rPr>
          <w:b/>
        </w:rPr>
        <w:t>E. 6.2</w:t>
      </w:r>
    </w:p>
    <w:p>
      <w:r>
        <w:t>A proposito dell'audizione preliminare va osservato che, ai fini della sua esecuzione, la SEM avrebbe senz'altro potuto chiedere all'Ufficio controllo abitanti di Collina d'Oro, l'ultimo domicilio ticinese del ricorrente, se egli avesse lasciato un recapito in Italia, tanto più che il punto 2 del dispositivo della decisione dell'UMCT di revoca del permesso C, conosciuta dalla SEM, gli ingiungeva di "notifica[re] la partenza presso l'Ufficio controllo abitanti [di Collina d'Oro] e alla scrivente autorità" (cfr. consid. C [incarto SEM, doc. 1]). Cionondimeno, il ricorrente ha avuto modo di esprimersi compiutamente sul divieto d'entrata in questa sede, criticando i motivi addotti dalla SEM. Pertanto, considerato che questo Tribunale dispone di un pieno potere d'esame (cfr. consid. 2), la violazione oggettiva del diritto di essere sentito del ricorrente, privato della possibilità di esprimersi sulle intenzioni della SEM prima di ricevere la decisione impugnata, è stata sanata nel corso della presente procedura. In quest'ottica si aggiunga, con riferimento alla giurisprudenza sopracitata, che l'eventuale constatazione della nullità del divieto d'entrata, con il conseguente rinvio della causa alla SEM per eseguire l'audizione preliminare, costituirebbe una vana formalità, allungando inutilmente la procedura, e ciò a discapito dell'interesse del ricorrente ad ottenere una decisione entro un termine ragionevole.</w:t>
      </w:r>
    </w:p>
    <w:p>
      <w:r>
        <w:rPr>
          <w:b/>
        </w:rPr>
        <w:t>E. 6.3</w:t>
      </w:r>
    </w:p>
    <w:p>
      <w:r>
        <w:t>Rispetto alla non notifica, da parte della SEM, del divieto d'entrata del 7 luglio 2022, questione che si rapporta ugualmente al diritto di essere sentito del ricorrente, occorre sottolineare che essa è comunque avvenuta pochi giorni dopo, ossia il 12 luglio 2022, a Lugano, per il tramite della polizia cantonale (cfr. consid. G [incarto SEM, doc. 10]), e che non ha avuto manifestamente alcuna conseguenza negativa per il medesimo.</w:t>
      </w:r>
    </w:p>
    <w:p>
      <w:r>
        <w:rPr>
          <w:b/>
        </w:rPr>
        <w:t>E. 7.1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7.2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relativa all'art. 67 LStrI; cfr. anche DTF 139 II 121 consid. 5.1 e 6.3).</w:t>
      </w:r>
    </w:p>
    <w:p>
      <w:r>
        <w:rPr>
          <w:b/>
        </w:rPr>
        <w:t>E. 7.3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7.4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7.5</w:t>
      </w:r>
    </w:p>
    <w:p>
      <w:r>
        <w:t>È ancora utile sottolineare che, in linea di principio, la motivazione di un giudizio penale non vincola l'autorità amministrativa. Al contrario, per garantire l'unità della giurisprudenza ed evitare, nel limite del possibile, decisioni contraddittorie, l'autorità amministrativa non deve, senza necessità, scostarsi dalle risultanze fattuali del procedimento penale. Ciò posto, il diritto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pericolosità dello straniero applicando criteri più severi. Così, nell'ottica del diritto degli stranieri, la liberazione condizionale di un condannato, come pure la constatazione, da parte delle autorità preposte all'esecuzione della pena, che egli fa prova di un'evoluzione positiva o di un comportamento irreprensibile, non permettono di escludere, di per sé, che non rappresenti più un pericolo per l'ordine e la sicurezza pubblici. In questo senso, anche senza disporre di un giudizio penale, sia per la mancata apertura del relativo procedimento, sia a causa della sua pendenza, l'autorità amministrativa può adottare un divieto d'entrata se giunge alla conclusione, fondandosi sul proprio apprezzamento dei mezzi di prova, che le condizioni per emanarlo sono soddisfatte (cfr., tra le tante, DTF 140 I 145 consid. 4.3, 137 II 233 consid. 5.2.2 e 129 II 215 consid. 3.2, nonché le sentenze 2C_606/2020 del 5 marzo 2021 consid. 3.3.1, 2C_ 622/2014 del 27 gennaio 2015 consid. 4.3.2 [in italiano], 1C_596/2014 del 3 febbraio 2015 consid. 2.4 [in italiano], 2C_11/2013 del 25 marzo 2013 consid. 2.3 e 2C_642/2009 del 25 marzo 2010 consid. 4.2.3; cfr. anche le sentenze TAF F-6623/2016 del 22 marzo 2018 consid. 8.4 e C-2463/2013 del 7 maggio 2015 consid. 8.4).</w:t>
      </w:r>
    </w:p>
    <w:p>
      <w:r>
        <w:rPr>
          <w:b/>
        </w:rPr>
        <w:t>E. 8</w:t>
      </w:r>
    </w:p>
    <w:p>
      <w:r>
        <w:t>In prosieguo importa stabilire se le condizioni per emettere un divieto d'entrata in sé (minaccia almeno di una certa gravità) fossero adempiute il 7 luglio 2020 (cfr. le sentenze del Tribunale federale 2C_66/2018 del 7 maggio 2018 consid. 5.3.1 e 2C_784/2014 del 24 aprile 2015 consid. 3.2 in fine); nell'affermativa, bisognerà precisare l'intensità della gravità della minaccia (minaccia solo di una certa gravità o minaccia grave). È doveroso puntualizzare che, nel caso in cui tra la decisione amministrativa e la sua verifica giudiziaria trascorra del tempo, bisogna tenere conto, per valutare il presupposto della minaccia attuale, anche di eventuali elementi di fatto successivi al rilascio del divieto d'entrata (cfr. DTF 137 II 233 consid. 5.3.1; cfr. anche la sentenza del Tribunale federale 2C_173/2019 del 31 luglio 2019 consid. 5.2.1, con il rinvio alla sentenza CGCE del 29 aprile 2004, Orfanopoulos e Oliveri, C-482/01 e C-493/01, nn. 77 a 79).</w:t>
      </w:r>
    </w:p>
    <w:p>
      <w:r>
        <w:rPr>
          <w:b/>
        </w:rPr>
        <w:t>E. 8.1</w:t>
      </w:r>
    </w:p>
    <w:p>
      <w:r>
        <w:t>Rispetto alle infrazioni che il ricorrente ha commesso dal 1998 al 2019 (cfr. consid. B e D), bisogna rilevare che l'estratto del casellario giudiziale svizzero procuratosi dalla SEM ai fini dell'emanazione del divieto d'entrata litigioso, elenca soltanto quelle sanzionate a partire dal 2011 (cfr. incarto SEM, doc. 8 [pagg. 30 a 33]). Le infrazioni antecedenti sono riportate nella decisione dell'UMCT di revoca del permesso C, senza indicazione della fonte (cfr. consid. C). Conviene ancora aggiungere che il ricorrente è incensurato in Italia (cfr. incarto SEM, doc. 7 [pagg. 27 a 29]).</w:t>
      </w:r>
    </w:p>
    <w:p>
      <w:r>
        <w:rPr>
          <w:b/>
        </w:rPr>
        <w:t>E. 8.2</w:t>
      </w:r>
    </w:p>
    <w:p>
      <w:r>
        <w:t>Il ricorrente è stato condannato complessivamente a cinque pene detentive sull'arco di diciotto anni, ossia nel 2001 (40 giorni), 2003 (6 giorni), 2005 (3 giorni), 2015 (180 giorni) e nel 2019 (180 giorni), rispettivamente per danneggiamento, sommossa, violazione di proprietà privata, lesioni semplici e rissa, nonché ripetuta minaccia, lesioni semplici, danneggiamento, ripetuta ingiuria e ripetuta violazione di domicilio ed esibizionismo. Il ricorrente ha subito in totale cinque pene pecuniarie, sanzione introdotta dal nuovo Codice penale (CP, RS 311.0) in vigore dal 1° gennaio 2007, su un periodo di undici anni, ovvero nel 2007 (30 aliquote giornaliere), nel 2011 (50 aliquote giornaliere), nel 2013 (78 aliquote giornaliere), nel 2015 (40 aliquote giornaliere) e nel 2018 (100 aliquote giornaliere), per varie infrazioni, ossia rissa, violenza o minaccia contro le autorità e i funzionari, violazione di domicilio e vie di fatto, lesioni semplici, danneggiamento, elusione di provvedimenti per accertare l'inattitudine alla guida, guida in stato di inattitudine e disobbedienza a decisioni dell'autorità. Il ricorrente si è pure visto comminare in tutto otto multe in un lasso di tempo di venti anni, di cui tre nel 1998 (fr. 100.- e fr. 200.- a due riprese), una nel 2003 (fr. 100.-), una nel 2004 (fr. 150.-), una nel 2015 (fr. 650.-), una nel 2017 (fr. 1'000.-) e l'ultima nel 2018 (fr. 500.-).</w:t>
      </w:r>
    </w:p>
    <w:p>
      <w:r>
        <w:rPr>
          <w:b/>
        </w:rPr>
        <w:t>E. 8.3</w:t>
      </w:r>
    </w:p>
    <w:p>
      <w:r>
        <w:t>Sul piano della natura dei reati va osservato che il ricorrente ha violato diversi beni giuridici, tutelati sia dal CP che dalla legge federale sulla circolazione stradale del 19 dicembre 1958 (LCStr, RS 741.01), ossia il patrimonio (danneggiamento), la tranquillità pubblica (sommossa), la libertà personale (minaccia, vie di fatto, violazione di domicilio), l'integrità della persona (lesioni semplici, rissa), l'onore (ingiuria), l'integrità sessuale (esibizionismo) e la sicurezza stradale (guida in stato di inattitudine). La lesione della maggioranza di questi beni giuridici non è perseguita d'ufficio, ma soltanto a querela di parte, com'è il caso per il danneggiamento, la violazione di domicilio, l'esibizionismo e l'ingiuria, nonché, salvo che interessino le autorità e i funzionari, le lesioni semplici, le vie di fatto e la minaccia. Questo è un indizio che la loro violazione non costituisce di per sé, in un'ottica penale, una turbativa grave dell'ordine e della sicurezza pubblici. Benché questo non valga, come detto, in caso di lesioni semplici, vie di fatto e minacce all'indirizzo delle autorità e dei funzionari, che sono perseguiti d'ufficio, le offese concrete a questi beni giuridici, che siano state sanzionate con una pena detentiva o, dal 2007, con una pena pecuniaria, non permettono di ritenere, per loro natura, che il ricorrente rappresenti una minaccia grave per l'ordine e la sicurezza pubblici nemmeno dal punto di vista del diritto degli stranieri, ma soltanto una minaccia di una certa gravità (cfr. consid. 7.4). Rispetto alle modalità d'esecuzione dei reati bisogna aggiungere che dall'incarto traspare che il ricorrente ha avuto seri problemi d'alcol e che ha infranto la legge trovandosi sovente in stato di alcolemia importante (cfr. consid. E, F, H e M). Questa peculiarità della fattispecie permette prudenzialmente di affermare che il ricorrente, quando è sobrio, non tende a delinquere, ma che questa tendenza si palesa principalmente quando egli è in preda all'influsso dell'alcol. Altrimenti detto, più che una proclività a delinquere, il ricorrente ha un problema legato all'abuso d'alcol, che è di natura medica (cfr. www.ingrado.ch), e che può essere risolto o alleviato grazie ad una terapia appropriata, con un probabile impatto positivo sul rischio di recidiva, essendo precisato che l'abuso d'alcol non è, di per sé, un comportamento illegale. Anche se fino ad oggi, nonostante l'aiuto dell'UAR e del Centro Ingrado, il ricorrente non sembra ancora essere riuscito pienamente a liberarsi dalla tirannia dell'alcol, dall'incarto traspare che egli è cosciente della necessità di agire in questo senso per "riprendere in mano la sua vita" (cfr. consid. H, M e P; cfr., mutatis mutandis, la sentenza TAF F-3633/2018 del 17 marzo 2020 consid. 9.3.1 [assuefazione e consumo personale di droga]). Riguardo alla sicurezza stradale, pur essendo indispensabile sottolineare che, secondo una giurisprudenza consolidata, "guidare in stato di ubriachezza mette gravemente in pericolo la vita del conduttore e degli altri utenti della strada" (sentenza del Tribunale federale 2C_452/2017 del 2 luglio 2018 consid. 4.4 con i rinvii), dall'incarto risulta che il ricorrente ha subito in questo ambito, peraltro in concomitanza con altri delitti, unicamente una pena pecuniaria nel 2013 e una multa nel 2017. Pertanto, anche in relazione a questo bene giuridico, non si può affermare che il ricorrente rappresenti una minaccia grave per l'ordine e la sicurezza pubblici, ma soltanto una minaccia di una certa gravità (cfr. consid. 7.4).</w:t>
      </w:r>
    </w:p>
    <w:p>
      <w:r>
        <w:rPr>
          <w:b/>
        </w:rPr>
        <w:t>E. 8.4</w:t>
      </w:r>
    </w:p>
    <w:p>
      <w:r>
        <w:t>Sul piano temporale va puntualizzato che le prime tre delle cinque pene detentive risalgono rispettivamente, a contare dal 2022, a ben ventuno, diciannove e sedici anni fa. Data questa considerevole lontananza nel tempo non si può attribuire loro una rilevanza tangibile per misurare la gravità e l'attualità della minaccia che il ricorrente rappresenta per l'ordine e la sicurezza pubblici. Questo vale in definitiva anche per la loro durata, rispettivamente di 40, 6 e 3 giorni. D'altro canto, la quarta pena detentiva, di 180 giorni, è intervenuta dieci anni dopo la terza e l'ultima, pure di 180 giorni, è stata pronunciata nel 2019 in quanto pena unica in relazione alle condanne del 2015 e 2018 (cfr. consid. D). Malgrado il lungo periodo durante il quale il ricorrente ha offeso la legge a molteplici riprese, gli episodi più significativi che hanno condotto alle pene detentive testimoniano, nel loro insieme, di una notevole discontinuità, la quale non può che indurre a relativizzare la gravità e l'attualità della minaccia che il ricorrente costituisce per l'ordine e la sicurezza pubblici, e questo anche dal punto di vista del rischio di recidiva. In questo senso, pur tenendo conto della durata e della frequenza del comportamento deviante del ricorrente, non si può parlare di una minaccia grave attuale, ma soltanto di una minaccia di una certa gravità (cfr. consid. 7.4).</w:t>
      </w:r>
    </w:p>
    <w:p>
      <w:r>
        <w:rPr>
          <w:b/>
        </w:rPr>
        <w:t>E. 8.5</w:t>
      </w:r>
    </w:p>
    <w:p>
      <w:r>
        <w:t>Di conseguenza, la minaccia che rappresentava il ricorrente nel luglio 2020 per l'ordine e la sicurezza pubblici svizzeri, benché fosse reale ed attuale e che giustificasse il rilascio di un divieto d'entrata, non poteva essere qualificata, contrariamente a quanto ritenuto dalla SEM, come grave ai sensi dell'art. 67 cpv. 3 2a frase LStrI. Questo significa che la durata del divieto d'entrata non può superare, per legge, i cinque anni. Su questo punto, la decisione impugnata, che prevede un divieto d'entrata di sette anni, deve essere riformata. Questo implica che la conclusione principale del ricorso, relativa all'annullamento puro e semplice del provvedimento, è infondata. Quanto alla sua conclusione sussidiaria, che chiede di ridurre la durata del divieto d'entrata ad anno, ossia dal 7 luglio 2020 al 6 luglio 2021, essa va esaminata alla luce del principio di proporzionalità.</w:t>
      </w:r>
    </w:p>
    <w:p>
      <w:r>
        <w:rPr>
          <w:b/>
        </w:rPr>
        <w:t>E. 9</w:t>
      </w:r>
    </w:p>
    <w:p>
      <w:r>
        <w:t>Si tratta dunque di fissare, in accordo con il detto principio costituzionale, la durata del divieto d'entrata in funzione del complesso delle circostanze del caso, nel quadro del diritto del ricorrente alla libera circolazione garantito dall'ALC (cfr. consid. 4), nonché del suo diritto al rispetto della sua vita privata e familiare secondo l'art. 8 della Convenzione europea dei diritti dell'uomo (CEDU, RS 0.101).</w:t>
      </w:r>
    </w:p>
    <w:p>
      <w:r>
        <w:rPr>
          <w:b/>
        </w:rPr>
        <w:t>E. 9.1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9.2.1</w:t>
      </w:r>
    </w:p>
    <w:p>
      <w:r>
        <w:t>A proposito dell'art. 8 § 1 CEDU bisogna precisare che, quantunque non garantisca il diritto di entrata e di soggiorno in Svizzera, esso tutela, sotto il profilo del diritto al rispetto della vita privata, che è una nozione larga, non suscettibile di essere definita in modo esaustivo, il diritto allo sviluppo personale e il diritto a stringere ed ampliare relazioni con i propri simili e con il mondo esterno, estendendo la sua protezione anche alle eventuali attività professionali e commerciali di chi se ne prevale (cfr. le sentenze CorteEDU - Fernandez Martinez c. Spagna [Grande Camera], n. 56030/07, 12 giugno 2014, § 110, e Niemietz c. Germania, n. 13710/88, 16 dicembre 1992, § 29; DTF 140 I 145 consid. 3.1 e 139 I 330 consid. 2.1 con i rinvii). Dal punto di vista del diritto al rispetto della vita familiare, la cui esistenza è una questione di fatto che dipende dalla realtà concreta dei legami personali (cfr. la sentenza CorteEDU - Paradiso e Campanelli c. Italia [Grande Camera], n. 25358/12, 24 gennaio 2017, § 140), chi si richiama alla protezione dell'art. 8 § 1 CEDU deve, in generale, intrattenere una relazione stretta, effettiva ed intatta, con una persona della sua famiglia; in questo senso, sono protetti, segnatamente, i rapporti tra i coniugi, nonché quelli tra genitori e figli minorenni che vivono, di norma, in comunione; eccezionalmente, se sussiste un particolare rapporto di dipendenza tra loro, sono presi in considerazione anche i rapporti tra genitori e figli maggiorenni (cfr., fra le numerose, la DTF 139 I 155 consid. 4.1). A questo proposito, per riprendere le parole della CorteEDU, "les rapports entre adultes ne bénéficieront pas nécessairement de la protection de l'art. 8 CEDH sans que soit démontrée l'existence d'éléments supplémentaires de dépendance, autres que les liens affectifs normaux" (decisione CorteEDU - Kwakye-Nti e Dufie c. Paesi Bassi, n. 31519/96 ; cfr. anche le sentenze CorteEDU - Slivenko c. Lettonia [Grande Camera], n. 48321/99, 8 ottobre 2003, § 97, e A.S. c. Svizzera, n. 39350/13, 30 giugno 2015, n. 49).</w:t>
      </w:r>
    </w:p>
    <w:p>
      <w:r>
        <w:rPr>
          <w:b/>
        </w:rPr>
        <w:t>E. 9.2.2</w:t>
      </w:r>
    </w:p>
    <w:p>
      <w:r>
        <w:t>Dal canto suo, l'art. 8 § 2 CEDU permette un'ingerenza statale nell'esercizio del diritto al rispetto della vita privata e della vita familiare, se la medesima è prevista dalla legge (legalità) ed è necessaria, in modo particolare, alla sicurezza pubblica e alla prevenzione dei reati in una società democratica (proporzionalità). Per verificare se l'ingerenza statale è necessaria a raggiungere questi scopi, la CorteEDU ha identificato una serie di elementi da considerare, tra i quali spiccano la natura e la gravità delle infrazioni commesse, la durata del soggiorno dell'interessato nel paese dal quale viene allontanato, il lasso di tempo trascorso dall'ultima infrazione e la condotta successiva dell'interessato, la sua situazione familiare nonché la solidità dei legami sociali, culturali e familiari con il paese ospitante e con il paese di destinazione. Riguardo alla durata del soggiorno nel paese ospitante, la CorteEDU ha precisato che la sua pertinenza, anche soltanto sotto il profilo della vita privata, deriva dalla supposizione che "plus longtemps une personne réside dans un pays particulier, plus forts sont ses liens avec ce pays et plus faibles sont ses liens avec son pays d'origine" (sentenza CorteEDU - Üner c. Paesi Bassi [Grande Camera], n. 46410/99, 18 ottobre 2006, §§ 57 a 60).</w:t>
      </w:r>
    </w:p>
    <w:p>
      <w:r>
        <w:rPr>
          <w:b/>
        </w:rPr>
        <w:t>E. 9.3</w:t>
      </w:r>
    </w:p>
    <w:p>
      <w:r>
        <w:t>In concreto, come diffusamente esposto in precedenza (cfr. consid. 8), avendo violato a più riprese e su un lungo lasso di tempo, in Svizzera ma non in Italia od altrove, diversi beni giuridici, la cui lesione è principalmente perseguita a querela di parte, il ricorrente rappresentava una minaccia di una certa gravità per l'ordine e la sicurezza pubblici nel luglio 2020.</w:t>
      </w:r>
    </w:p>
    <w:p>
      <w:r>
        <w:rPr>
          <w:b/>
        </w:rPr>
        <w:t>E. 9.3.1</w:t>
      </w:r>
    </w:p>
    <w:p>
      <w:r>
        <w:t>Preso atto della devianza del ricorrente, si deve mettere in particolare risalto, seguendo la giurisprudenza della CorteEDU, il fatto che egli ha vissuto per circa quarantadue anni in Svizzera da quando è nato il 7 luglio 1977 fino alla revoca del suo permesso C, intervenuta il 2 maggio 2019, la quale non è stata peraltro oggetto di nessun esame di merito né da parte dell'autorità di ricorso amministrativa (CS), né da parte delle autorità di ricorso giudiziarie (TRAM, Tribunale federale). Rispetto alla data del divieto d'entrata, emanato il 7 luglio 2020, la durata della presenza in Svizzera del ricorrente ammonta esattamente a quarantatré anni (cfr. consid. A, C e G). Questo significa, segnatamente, che il ricorrente ha frequentato la scuola d'infanzia, la scuola elementare e la scuola media in Ticino, attraversando le fasi dell'intero processo di socializzazione secondaria come tutti i bambini e gli adolescenti svizzeri. Egli ha inoltre assolto l'apprendistato di giardiniere, imparando quindi un mestiere riconosciuto ufficialmente come tale (cfr. www.orientamento.ch). In questo modo si deve dunque ammettere con la CorteEDU, a prescindere dalle informazioni più o meno dettagliate disponibili sulla vita del ricorrente, che i suoi rapporti con la Svizzera, specialmente con il Ticino, dove sua madre ha vissuto fino alla morte e dove risiedono ancora un suo zio e un suo cugino (cfr. consid. L e Q), sono ben più forti dei suoi rapporti con l'Italia, dove egli afferma, d'altra parte, di non avere nessun tipo di legame familiare o sociale (cfr. consid. H). In proposito è pertinente notare che, avendo vissuto quaranta due anni circa esclusivamente in Svizzera, il vincolo del ricorrente con l'Italia tende a ridursi al possesso del passaporto ed è quindi, essenzialmente, di natura formale.</w:t>
      </w:r>
    </w:p>
    <w:p>
      <w:r>
        <w:rPr>
          <w:b/>
        </w:rPr>
        <w:t>E. 9.3.2</w:t>
      </w:r>
    </w:p>
    <w:p>
      <w:r>
        <w:t>La SEM non ha tematizzato l'importanza preponderante della durata quarantennale di questo soggiorno esclusivo e delle sue implicazioni sulla vita privata e familiare del ricorrente, limitandosi a sostenere, in modo lapidario e apodittico, che egli non sarebbe ben integrato in Svizzera e che i suoi sforzi per sfuggire alla devianza, che è dovuta in buona parte all'abuso d'alcol, sarebbero scarsi (cfr. consid. M). Ora, sul piano della sua vita privata, il ricorrente, che, come visto, è stato completamente scolarizzato in Ticino, dove ha inoltre conseguito il diploma di giardiniere, e che, in ambito extrascolastico ed extraprofessionale, ha tra l'altro funto da monitore per ragazzi con disabilità per circa dieci anni e ha giocato al calcio in squadre regionali fin da ragazzino (cfr. consid. H), ha per forza di cose dovuto stringere e coltivare rapporti con individui che sono rimasti semplici conoscenti o che sono divenuti amici, costruendosi così una rete di persone di riferimento nel tessuto sociale ticinese, proprio come i suoi contemporanei titolari o meno del passaporto svizzero. Questo è senz'altro un indice di integrazione del ricorrente, la cui intensità è funzione della durata del suo soggiorno, e ciò parallelamente ai diversi episodi di devianza che hanno intramezzato fin qui il suo percorso di vita, soprattutto, è bene ribadirlo ancora una volta, quando abusa(va) di bevande alcoliche. A suffragio di questa valutazione è utile segnalare che, nel corso della presente procedura, il ricorrente ha mostrato di volere e di essere in grado di trovare un lavoro in Ticino, senza troppe difficoltà, come frontaliere, visto che non dispone più del suo permesso C e nemmeno di un permesso B (cfr. consid. H, N e Q). Anche sul piano della vita familiare la durata del soggiorno del ricorrente si rivela un indice di integrazione, nella misura in cui egli ha vissuto con sua madre in Ticino fin dalla nascita, ed ha inoltre intrattenuto una relazione con una sua zia (cfr. consid. L e Q). Il fatto che queste due persone siano ormai decedute non toglie nulla alla realtà di questo vissuto del ricorrente nel contesto sociale ticinese, unitamente alle altre persone di riferimento che egli ha incontrato sul suo percorso di vita, siano esse conoscenti od amici. In questo modo, diversamente da quanto riportato nella decisione impugnata, secondo cui non risulterebbe che il ricorrente "abbia in Svizzera dei legami personali o familiari che permettano di invocare la protezione prevista dall'art. 8 CEDU" (decisione impugnata, pag. 3), non soltanto l'aspetto "vita privata" ha una valenza preponderante alla luce del soggiorno più che quarantennale del ricorrente in Ticino (cfr. consid. 9.2.2), ma anche l'aspetto "vita familiare" non può essere né occultato né, tantomeno, ignorato.</w:t>
      </w:r>
    </w:p>
    <w:p>
      <w:r>
        <w:rPr>
          <w:b/>
        </w:rPr>
        <w:t>E. 9.4</w:t>
      </w:r>
    </w:p>
    <w:p>
      <w:r>
        <w:t>Di conseguenza, un divieto d'entrata di cinque anni, durata massima proponibile, o anche soltanto di quattro anni, aggiungendosi agli effetti della privazione di qualsiasi permesso di soggiorno (C o B), rappresenterebbe un'ingerenza eccessiva, non necessaria, nel diritto al rispetto della vita privata e familiare che il ricorrente si è costruito durante la sua permanenza più che quarantennale in Ticino. La ponderazione dell'interesse pubblico della Svizzera a tenere lontano dal suo territorio il ricorrente e l'interesse privato di quest'ultimo ad usufruire della libera circolazione secondo l'ALC, per esempio a scopo di lavoro come frontaliere, oppure per viaggiare o rendere visita ai suoi parenti, ai suoi amici o ad altre persone, induce a ritenere che una durata del divieto d'entrata di tre anni sia più conforme alle esigenze della proporzionalità e, di riflesso, alle condizioni restrittive poste dall'ALC per limitare i diritti del ricorrente derivanti dalla libera circolazione delle persone, in particolare il diritto d'ingresso.</w:t>
      </w:r>
    </w:p>
    <w:p>
      <w:r>
        <w:rPr>
          <w:b/>
        </w:rPr>
        <w:t>E. 10</w:t>
      </w:r>
    </w:p>
    <w:p>
      <w:r>
        <w:t>In conclusione, pronunciando un divieto d'entrata di sette anni, la SEM ha violato l'art. 67 cpv. 3 LStrI e il principio di proporzionalità nell'esercizio del suo potere d'apprezzamento (art. 49 lett. a PA). Stando così le cose, in accordo con le considerazioni sopraesposte, il ricorso va parzialmente accolto e la decisione impugnata riformata, nel senso che la durata del divieto d'entrata è ridotta a tre anni, per cui lo stesso è valido dal 7 luglio 2020 al 6 luglio 2023.</w:t>
      </w:r>
    </w:p>
    <w:p>
      <w:r>
        <w:rPr>
          <w:b/>
        </w:rPr>
        <w:t>E. 11.1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fissazione della durata del divieto d'entrata (conclusione subordinata), è giusto porre a suo carico, a titolo di spese processuali, fr. 500.- da prelevare sull'anticipo di fr. 1'200.- da lui già versato. Di conseguenza, fr. 700.- saranno restituiti al ricorrente una volta che la presente sentenza sarà cresciuta in giudicato.</w:t>
      </w:r>
    </w:p>
    <w:p>
      <w:r>
        <w:rPr>
          <w:b/>
        </w:rPr>
        <w:t>E. 11.2</w:t>
      </w:r>
    </w:p>
    <w:p>
      <w:r>
        <w:t>In relazione alle spese ripetibili, considerato che il ricorso è parzialmente ammesso, il ricorrente, che è patrocinato da una legale, ha diritto a un'indennità, ridotta in proporzione, per le spese necessarie derivanti dalla causa (artt. 64 cpv. 1 PA e 7 cpv. 1 e 2 TS-TAF). Dato che il ricorrente non ha presentato alcuna nota d'onorario, l'indennità deve essere fissata sulla base degli atti di causa (art. 14 cpv. 2 TS-TAF). Ora, alla luce dell'ampiezza e del contenuto del ricorso, nonché degli scritti successivi, è appropriato attribuire al ricorrente un'indennità ridotta per spese ripetibili di fr. 1'300.-.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