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F-395/2025 vom 23. Januar 2025</w:t>
      </w:r>
    </w:p>
    <w:p>
      <w:r>
        <w:t>Bundesverwaltungsgericht, 2025-01-23, FR</w:t>
      </w:r>
    </w:p>
    <w:p>
      <w:r>
        <w:rPr>
          <w:b/>
        </w:rPr>
        <w:t xml:space="preserve">Quelle: </w:t>
      </w:r>
      <w:r>
        <w:t>https://mcp.opencaselaw.ch/entscheid/bvger_F-395_2025</w:t>
      </w:r>
    </w:p>
    <w:p>
      <w:r>
        <w:t>FR: TAF F-395/2025 du 23 janvier 2025</w:t>
      </w:r>
    </w:p>
    <w:p>
      <w:r>
        <w:t>IT: TAF F-395/2025 del 23 gennaio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1.4</w:t>
      </w:r>
    </w:p>
    <w:p>
      <w:r>
        <w:t>Conformément à l'art. 33a al. 2 PA, dans la procédure de recours, la langue est celle de la décision attaquée. Si les parties utilisent une autre langue officielle, celle-ci peut être adoptée. En l'occurrence, la décision attaquée a été rédigée en allemand et le recours en français. C'est donc cette dernière langue qui sera adoptée pour la procédure de recours.</w:t>
      </w:r>
    </w:p>
    <w:p>
      <w:r>
        <w:rPr>
          <w:b/>
        </w:rPr>
        <w:t>E. 1.5</w:t>
      </w:r>
    </w:p>
    <w:p>
      <w:r>
        <w:t>L'objet du litige, délimité par les conclusions de la partie, est limité par les questions tranchées dans le dispositif de la décision querellée, à savoir l'objet de la contestation (cf. ATF 144 II 359 consid. 4.3). En l'espèce, la recourante a notamment conclu à son attribution au canton de Vaud en lieu et place du canton de Saint-Gall. Cela étant, le chiffre 4 du dispositif de la décision querellée n'attribue pas l'intéressée au canton de Saint-Gall mais charge uniquement ce canton de l'exécution du transfert. Dès lors, cette conclusion sort de l'objet de la contestation et donc du litige et est partant irrecevable.</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 En particulier, si le demandeur est titulaire d'un visa périmé depuis moins de six mois lui ayant effectivement permis d'entrer sur le territoire d'un Etat membre, l'Etat membre qui l'a délivré est responsable de l'examen de la demande de protection internationale, sauf exception non réalisée en l'espèce (cf. art. 12 part. 2 et 3 RD III). 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2.3</w:t>
      </w:r>
    </w:p>
    <w:p>
      <w:r>
        <w:t>En l'occurrence, il n'est pas contesté que la recourante est arrivée en Europe au bénéfice d'un visa français valable jusqu'au 20 novembre 2024. Par ailleurs, à la suite de la requête soumise par le SEM dans le délai prévu à l'art. 21 par. 1 RD III, les autorités françaises compétentes ont expressément accepté, dans le délai fixé à l'art. 22 par. 1 RD III, de prendre en charge l'intéressée, sur la base de l'art. 12 RD III.</w:t>
      </w:r>
    </w:p>
    <w:p>
      <w:r>
        <w:rPr>
          <w:b/>
        </w:rPr>
        <w:t>E. 3.1</w:t>
      </w:r>
    </w:p>
    <w:p>
      <w:r>
        <w:t>A l'appui de son recours, l'intéressée s'est opposée à son transfert vers la France en invoquant avoir été victime de mariage forcé et avoir appris d'une personne tierce que la famille de son époux se trouverait en France.</w:t>
      </w:r>
    </w:p>
    <w:p>
      <w:r>
        <w:rPr>
          <w:b/>
        </w:rPr>
        <w:t>E. 3.2</w:t>
      </w:r>
    </w:p>
    <w:p>
      <w:r>
        <w:t>Dans ces circonstances, il convient en premier lieu d'examiner, en vertu de l'art. 3 par. 2 al. 2 du règlement Dublin III,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w:t>
      </w:r>
    </w:p>
    <w:p>
      <w:r>
        <w:rPr>
          <w:b/>
        </w:rPr>
        <w:t>E. 3.3</w:t>
      </w:r>
    </w:p>
    <w:p>
      <w:r>
        <w:t>Conformément à une jurisprudence constante et régulièrement actualisée, il n'y a aucune raison sérieuse de penser qu'il existe en France des défaillances systémiques au sens de l'art. 3 par. 2 RD III (cf. arrêts du TAF F-6418/2024 du 16 octobre 2024 et E-4709/2024 du 23 septembre 2024).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3.4</w:t>
      </w:r>
    </w:p>
    <w:p>
      <w:r>
        <w:t>Si cette présomption peut être renversée par des indices sérieux que, dans le cas concret, les autorités ne respecteraient pas le droit international (cf. arrêt du TAF F-6287/2024 du 17 octobre 2024 consid. 8.2), force est de constater que la recourante n'a pas amené d'éléments probants permettant de parvenir à une telle conclusion. En effet, sur le vu de ses déclarations, elle n'a jamais pris contact avec les autorités françaises, et n'a pas été en mesure de démontrer courir un risque concret en cas de transfert dans ce pays, la présence de la famille de son époux n'étant au surplus pas attestée sur le sol français, la recourante en ayant eu connaissance par ouï-dire. Les affirmations de l'intéressée ne sauraient dès lors remettre en cause la présomption du respect par la France de ses obligations tirées du droit international public et du droit européen. Cela étant, si l'intéressée devait, à l'issue de son transfert en France,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F-7816/2024 du 17 décembre 2024).</w:t>
      </w:r>
    </w:p>
    <w:p>
      <w:r>
        <w:rPr>
          <w:b/>
        </w:rPr>
        <w:t>E. 3.5</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Dans ces conditions, l'application de l'art. 3 par. 2 2ème phrase du règlement Dublin III ne se justifie pas en l'espèce.</w:t>
      </w:r>
    </w:p>
    <w:p>
      <w:r>
        <w:rPr>
          <w:b/>
        </w:rPr>
        <w:t>E. 4.1</w:t>
      </w:r>
    </w:p>
    <w:p>
      <w:r>
        <w:t>Pour s'opposer à son transfert, l'intéressée s'est également prévalue de la présence en Suisse de sa tante et de ses cousins, affirmant avoir grandement besoin du soutien de sa tante.</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w:t>
      </w:r>
    </w:p>
    <w:p>
      <w:r>
        <w:t>L'intéressée a implicitement fait valoir le droit au respect de sa vie familiale (art. 8 CEDH), en invoquant la présence de sa tante et de ses cousins en Suisse. Les relations familiales visées par cette disposition sont avant tout celles qui concernent la famille au sens étroit (famille nucléaire), soit celles qui existent entre époux ainsi qu'entre parents et enfants mineurs vivant en ménage commun (cf. ATF 147 I 268 consid. 1.2. et les réf. citées). D'autres liens familiaux ou de parenté peuvent également être protégés, à l'instar de ceux dont il est question à l'art. 16 par. 1 RD III, lorsqu'il y a un rapport de dépendance particulier dépassant les relations familiales respectivement les liens émotionnels usuels, par exemple en raison d'un handicap ou d'une maladie grave (cf. ATF 145 I 227 consid. 3.1).</w:t>
      </w:r>
    </w:p>
    <w:p>
      <w:r>
        <w:rPr>
          <w:b/>
        </w:rPr>
        <w:t>E. 4.4</w:t>
      </w:r>
    </w:p>
    <w:p>
      <w:r>
        <w:t>En l'occurrence, il ressort du dossier que ce n'est qu'au stade de la procédure de recours que l'intéressée s'est prévalue de la présence de sa tante en Suisse. Si elle a allégué avoir besoin du soutien de sa tante, elle n'a aucunement justifié ce besoin et leur relation ne saurait, de toute évidence, être assimilée à un rapport de dépendance tel qu'exigé par la jurisprudence.</w:t>
      </w:r>
    </w:p>
    <w:p>
      <w:r>
        <w:rPr>
          <w:b/>
        </w:rPr>
        <w:t>E. 5.1</w:t>
      </w:r>
    </w:p>
    <w:p>
      <w:r>
        <w:t>S'agissant de l'état de santé de la recourante,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requête n°41738/10, confirmé dans l'arrêt Savran c. Danemark [GC], du 7 décembre 2021, req. 57467/15 ; ATAF 2017 VI/7 consid. 6.2 et les réf. cit.).</w:t>
      </w:r>
    </w:p>
    <w:p>
      <w:r>
        <w:rPr>
          <w:b/>
        </w:rPr>
        <w:t>E. 5.2</w:t>
      </w:r>
    </w:p>
    <w:p>
      <w:r>
        <w:t>Or, sans minimiser les ulcères causés par une bactérie dont souffre la recourante, rien ne permet ainsi d'en déduire que celle-ci serait, en l'état, inapte à voyager ou que son transfert vers la France représenterait un danger concret pour sa santé. En outre, ce pays, qui est lié par la directive Accueil (référence complète : directive n° 2013/33/UE du Parlement européen et du Conseil du 26 juin 2013 établissant des normes pour l'accueil des personnes demandant la protection internationale [refonte ; JO L 180 du 29.06.2013]) et dispose de structures médicales suffisantes (cf. p.ex. arrêt du TAF F-8208/2024 du 8 janvier 2025),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de ladite directive). Ainsi, il n'appert pas que la recourante souffre, en l'état, de problèmes de santé d'une gravité telle que l'exécution de son transfert vers la France serait illicite au sens restrictif de la jurisprudence constante (cf. arrêts Paposhvili c. Belgique et Savran c. Danemark précités).</w:t>
      </w:r>
    </w:p>
    <w:p>
      <w:r>
        <w:rPr>
          <w:b/>
        </w:rPr>
        <w:t>E. 5.3</w:t>
      </w:r>
    </w:p>
    <w:p>
      <w:r>
        <w:t>Il s'ensuit que le transfert de l'intéressée vers la France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la recourante de voir sa procédure d'asile menée par la Suisse.</w:t>
      </w:r>
    </w:p>
    <w:p>
      <w:r>
        <w:rPr>
          <w:b/>
        </w:rPr>
        <w:t>E. 6.1</w:t>
      </w:r>
    </w:p>
    <w:p>
      <w:r>
        <w:t>Au regard de l'ensemble des éléments qui précèdent, c'est à bon droit que le SEM n'est pas entré en matière sur la demande d'asile de l'intéressée, en application de l'art. 31a al. 1 let. b LAsi, et qu'il a prononcé son transfert vers la France conformément à l'art. 44 1ère phr. LAsi, étant précisé qu'aucune exception à la règle générale du renvoi n'est réalisée (cf. art. 32 OA 1). Au vu de ce qui précède, le recours doit être rejeté, dans la mesure de sa recevabilité.</w:t>
      </w:r>
    </w:p>
    <w:p>
      <w:r>
        <w:rPr>
          <w:b/>
        </w:rPr>
        <w:t>E. 6.2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la requête formulée dans le recours tendant à l'exemption du paiement d'une avance de frais est sans objet. En outre, le litige prenant fin, les mesures superprovisionnelles prononcées le 20 janvier 2025 sont caduques.</w:t>
      </w:r>
    </w:p>
    <w:p>
      <w:r>
        <w:rPr>
          <w:b/>
        </w:rPr>
        <w:t>E. 6.3</w:t>
      </w:r>
    </w:p>
    <w:p>
      <w:r>
        <w:t>Les conclusions du recours étant d'emblée vouées à l'échec, la demande d'assistance judiciaire partielle est rejetée.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La recourante n'a pas droit à des dépens (cf.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