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F-395/2016 vom 18. Januar 2018</w:t>
      </w:r>
    </w:p>
    <w:p>
      <w:r>
        <w:t>Bundesverwaltungsgericht, 2018-01-18, DE</w:t>
      </w:r>
    </w:p>
    <w:p>
      <w:r>
        <w:rPr>
          <w:b/>
        </w:rPr>
        <w:t xml:space="preserve">Quelle: </w:t>
      </w:r>
      <w:r>
        <w:t>https://mcp.opencaselaw.ch/entscheid/bvger_F-395_2016</w:t>
      </w:r>
    </w:p>
    <w:p>
      <w:r>
        <w:t>FR: TAF F-395/2016 du 18 janvier 2018</w:t>
      </w:r>
    </w:p>
    <w:p>
      <w:r>
        <w:t>IT: TAF F-395/2016 del 18 gennaio 2018</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Die Vorinstanz hat das Einreiseverbot wiedererwägungsweise auf die Dauer von insgesamt acht Jahre befristet (bis am 22. April 2021). Soweit die Beschwerde dadurch nicht gegenstandslos geworden ist, bleibt der Rechtsstreit aufrechterhalten (vgl. Art. 58 Abs. 3 VwVG).</w:t>
      </w:r>
    </w:p>
    <w:p>
      <w:r>
        <w:rPr>
          <w:b/>
        </w:rPr>
        <w:t>E. 1.4</w:t>
      </w:r>
    </w:p>
    <w:p>
      <w:r>
        <w:t>Das Bundesverwaltungsgericht entscheidet in der vorliegenden Angelegenheit endgültig (Art. 83 Bst. c Ziff. 1 BGG).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(vgl. Art. 49 VwVG) prüfen, ob sich das Einreiseverbot heute noch als bundesrechtskonform erweist. Die Frage, ob die ursprüngliche Verfügung zu Recht erlassen wurde, kann demgegenüber grundsätzlich nicht mehr Gegenstand des vorliegenden Verfahrens bilden (vgl. BVGE 2008/24 E. 2.2 m.H.).</w:t>
      </w:r>
    </w:p>
    <w:p>
      <w:r>
        <w:rPr>
          <w:b/>
        </w:rPr>
        <w:t>E. 3.1</w:t>
      </w:r>
    </w:p>
    <w:p>
      <w:r>
        <w:t>Vorab ist auf die Rüge des Beschwerdeführers einzugehen, die Vor-instanz sei ihrer Begründungspflicht nicht nachgekommen, da sie nicht ausgeführt habe, inwiefern der Beschwerdeführer eine schwerwiegende Gefahr für die öffentliche Sicherheit und Ordnung darstelle, die ein mehr als fünf Jahre dauerndes Einreiseverbot rechtfertigen könne. In diesem Zusammenhang habe sie es unterlassen, die seit Ergehen der Strafurteile und seit Erlass des Einreiseverbots erfolgte (positive) Entwicklung in seinen Verhältnissen zu berücksichtigen.</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w:t>
      </w:r>
    </w:p>
    <w:p>
      <w:r>
        <w:t>Diesen Anforderungen wird die Begründung der angefochtenen Verfügung noch gerecht. Die Vorinstanz legt verständlich dar, weshalb der Beschwerdeführer trotz des Zeitablaufs seit den abgeurteilten Straftaten und seines seitherigen Wohlverhaltens aus ausländerrechtlicher Sicht heute und in den nächsten Jahren als Risikofaktor für die öffentliche Sicherheit und Ordnung betrachtet werden muss. Des Weiteren ist offensichtlich, dass der Schluss von der nicht sofortigen Anordnung eines Einreiseverbots auf das Fehlen einer relevanten Gefahr für die öffentliche Sicherheit und Ordnung unzulässig ist. Schliesslich macht die Vorinstanz ausreichend klar, dass und aus welchen Gründen die vom Beschwerdeführer vorgebrachten privaten Interessen gegenüber dem öffentlichen Interesse an seiner Fernhaltung zurückzustehen haben. Zu beachten ist, dass im Rahmen des ausländerrechtlichen Verfahrens auf Widerruf der Niederlassungsbewilligung eine eng verwandte und sehr ausführliche Güterabwägung vorgenommen worden war, und dem Beschwerdeführer daher klar sein musste, warum die Vorinstanz seinen Argumenten keine entscheidende Bedeutung beimass. Seine Einwände sind daher als unbegründet zurückzuweisen.</w:t>
      </w:r>
    </w:p>
    <w:p>
      <w:r>
        <w:rPr>
          <w:b/>
        </w:rPr>
        <w:t>E. 4.1</w:t>
      </w:r>
    </w:p>
    <w:p>
      <w:r>
        <w:t>Das SEM kann Einreiseverbote gegen ausländische Personen erlassen, die gegen die öffentliche Sicherheit und Ordnung verstossen haben oder diese gefährden (Art. 67 Abs. 2 Bst. a AuG). Die Regelhöchstdauer des Einreiseverbots von fünf Jahren kann überschritten werden, wenn der Betroffene eine schwerwiegende Gefahr für die öffentliche Sicherheit und Ordnung darstellt (Art. 67 Abs. 3 AuG). Die Behörde kann aus wichtigen Gründen von der Verhängung eines Einreiseverbots absehen oder ein Einreiseverbot vollständig oder vorübergehend aufheben (Art. 67 Abs. 5 AuG). Mit dieser Bestimmung existiert eine spezialgesetzliche Grundlage für die Wiedererwägung eines Einreiseverbots (vgl. auch Urteil des BGer 2C_487/2012 vom 2. April 2013 E. 4.2).</w:t>
      </w:r>
    </w:p>
    <w:p>
      <w:r>
        <w:rPr>
          <w:b/>
        </w:rPr>
        <w:t>E. 4.2</w:t>
      </w:r>
    </w:p>
    <w:p>
      <w:r>
        <w:t>Einreiseverbote wurden gemäss alter Praxis auf unbestimmte Zeit erlassen, wenn zum Zeitpunkt des Erlasses keine zuverlässige Prognose abgegeben werden konnte, wie lange ein relevantes Risiko für die öffentliche Sicherheit und Ordnung anzunehmen ist. Die fehlende Befristung bedeutete keine Lebenslänglichkeit. Verhielt sich die betroffene Person während langer Zeit klaglos, so war dies ein Argument, das für den nachträglichen Wegfall des öffentlichen Sicherheitsbedürfnisses und damit für eine nachträglich wesentlich veränderte Sachlage sprechen konnte. Dabei wurde auf die gesamten Umstände des Einzelfalles abgestellt (vgl. BVGE 2013/4 E. 7.3; BVGE 2008/24 E. 6.2). Gemäss neuer Praxis sind Einreiseverbote zwingend auf eine bestimmte Zeitdauer zu befristen (vgl. BVGE 2014/20 E. 6 ff.). Dem hat die Vorinstanz Rechnung getragen, indem sie das Wiedererwägungsgesuch des Beschwerdeführers vom 30. November 2015 teilweise guthiess und die verhängte Fernhaltemassnahme auf acht Jahre befristete (vgl. Sachverhalt Bst. E.).</w:t>
      </w:r>
    </w:p>
    <w:p>
      <w:r>
        <w:rPr>
          <w:b/>
        </w:rPr>
        <w:t>E. 5</w:t>
      </w:r>
    </w:p>
    <w:p>
      <w:r>
        <w:t>Das SEM hat das gegen den Beschwerdeführer am 23. April 2013 verhängte unbefristete Einreiseverbot in erster Linie mit seinen strafrechtlichen Verurteilungen vom 3. Juli 2008 wegen (schwerer) Widerhandlung gegen das Betäubungsmittelgesetz bzw. 14. November 2008 wegen gewerbs- und bandenmässigen Diebstahls, Sachbeschädigung, Hausfriedensbruchs, Entwendung eines Motorfahrzeugs zum Gebrauch und Geldwäscherei begründet (vgl. Sachverhalt Bst. A.b). Beim Drogendelikt wurde dem Beschwerdeführer vom Strafrichter vorgeworfen, am 22. Februar 2008 zusammen mit weiteren Personen an einem Drogentransport von 682 Gramm reinem Heroin beteiligt gewesen zu sein. Bezüglich der Vermögensdelikte hielt es das Kreisgericht X Thun für erwiesen, dass der Beschwerdeführer in der Zeit von März 2006 bis September 2006 zusammen mit anderen Personen zahlreiche Einbruchsdiebstähle mit einem Gesamtdeliktsbetrag von Fr. 295'870.- verübt und dabei einen Gesamtsachschaden von über Fr. 85'000.- verursacht hatte. Die beiden Strafgerichte gingen davon aus, der Beschwerdeführer sei aus rein pekuniären Gründen straffällig geworden, weshalb der Einwand der Rechtsvertreterin in der Replik, wonach die von ihrem Mandanten verübten Delikte auf die bei ihm diagnostizierte schwere Depression infolge posttraumatischer Belastungsstörung zurückzuführen sein dürften, nicht zu überzeugen vermag. Nach dem Gesagten steht damit zweifellos fest, dass der Beschwerdeführer die öffentliche Sicherheit und Ordnung im Sinne von Art. 67 Abs. 2 Bst. a AuG verletzt und einen Fernhaltegrund gesetzt hat.</w:t>
      </w:r>
    </w:p>
    <w:p>
      <w:r>
        <w:rPr>
          <w:b/>
        </w:rPr>
        <w:t>E. 6.1</w:t>
      </w:r>
    </w:p>
    <w:p>
      <w:r>
        <w:t>Die Vorinstanz ist davon ausgegangen, dass nach wie vor ein überwiegendes öffentliches Interesse daran besteht, den Beschwerdeführer länger als fünf Jahre von der Schweiz fernzuhalten (vgl. angefochtene Verfügung vom 2. Dezember 2015). Nachfolgend gilt es somit zu prüfen, ob vom Beschwerdeführer eine noch anhaltende schwerwiegende Gefahr für die öffentliche Sicherheit und Ordnung im Sinne von Art. 67 Abs. 3 zweiter Satz AuG ausgeht (vgl. E. 4.1).</w:t>
      </w:r>
    </w:p>
    <w:p>
      <w:r>
        <w:rPr>
          <w:b/>
        </w:rPr>
        <w:t>E. 6.2</w:t>
      </w:r>
    </w:p>
    <w:p>
      <w:r>
        <w:t>Gemäss der bundesgerichtlichen Rechtsprechung kann sich die schwerwiegende Gefahr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w:t>
      </w:r>
    </w:p>
    <w:p>
      <w:r>
        <w:rPr>
          <w:b/>
        </w:rPr>
        <w:t>E. 6.3</w:t>
      </w:r>
    </w:p>
    <w:p>
      <w:r>
        <w:t>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erscheint vielmehr, wie lange sich die betroffene Person nach ihrer Entlassung aus der Haft in Freiheit bewährt hat (vgl. BVGE 2014/20 E. 5.4 m.H.; vgl. Urteil des BVGer F-7607/2015 vom 25. Juli 2016 E. 6.7). Im Weiteren ist zu beachten, dass Strafrecht und Ausländerrecht unterschiedliche Ziele verfolgen. Während der Strafvollzug auch der Resozialisierung dient, steht für die Migrationsbehörden das Interesse der öffentlichen Ordnung und Sicherheit im Vordergrund. Daraus ergibt sich im Ausländerrecht ein im Vergleich mit den Straf- und Strafvollzugsbehörden strengerer Beurteilungsmassstab (vgl. BGE 137 II 233 E. 5.2.2 m.H.). Gemäss Aktenlage dürfte der Beschwerdeführer im Verlaufe des Jahres 2008 aus der Untersuchungshaft entlassen worden sein. Nach rechtskräftigem Abschluss des fremdenpolizeilichen Verfahrens betreffend Widerruf der Niederlassungsbewilligung kehrte er den Angaben seiner Rechtsvertreterin zufolge im April 2011 in sein Heimatland zurück. Obwohl er bislang nicht mehr strafrechtlich in Erscheinung getreten ist (vgl. den unbelasteten Strafregisterauszug der Republik Kosovo vom 3. November 2015), kann aufgrund der Schwere und Art der begangenen Delikte, insbesondere aufgrund der zahlreichen Einbruchsdiebstähle mit einem Gesamtdeliktsbetrag von fast Fr. 300'000.- sowie aufgrund dessen Beteiligung am Handel von fast 700 Gramm reinem Heroin, eine schwere Gefährdung der öffentlichen Ordnung und Sicherheit nach wie vor nicht ausgeschlossen werden (vgl. zur Hochwertigkeit der involvierten Rechtsgüter und zum strengen Beurteilungsmassstab bei Drogendelikten: BGE 139 I 145 E. 2.5 und BVGer F-7607/2015 vom 25. Juli 2016 E. 6.5). Dabei fällt besonders ins Gewicht, dass der Beschwerdeführer den schweren Verstoss gegen das BetmG trotz eines hängigen Strafverfahrens, ungeachtet seiner Verantwortung als Familienvater, mehrfachen Vorstrafen und wiederholter ausländerrechtlicher Verwarnungen begangen hatte. Auch wenn die besagten Straftaten im Jahre 2006 bzw. 2008 begangen wurden, so ist die Wahrscheinlichkeit der Realisierung weiterer Straftaten nach wie vor als gross zu erachten. In Anbetracht der Schwere seines Drogendeliktes respektive seiner begangenen Vermögensdelikte erscheint eine Bewährungsfrist von sechs Jahren aus ausländerrechtlicher Perspektive als zu kurz, als dass die schwere Gefährdung der öffentlichen Ordnung und Sicherheit zum heutigen Zeitpunkt verneint werden könnte. Demzufolge kann gegenüber dem Beschwerdeführer gestützt auf Art. 67 Abs. 3 zweiter Satz AuG nach wie vor ein über fünf Jahre dauerndes Einreiseverbot erlassen werden (vgl. BVGE 2013/4 E. 5.2 und E. 7.2; BGE 139 I 31 E. 2.3.2). Die Vorinstanz ist demzufolge zu Recht davon ausgegangen, vorliegend rechtfertige sich eine lange andauernde Fernhaltemassnahme.</w:t>
      </w:r>
    </w:p>
    <w:p>
      <w:r>
        <w:rPr>
          <w:b/>
        </w:rPr>
        <w:t>E. 7.1</w:t>
      </w:r>
    </w:p>
    <w:p>
      <w:r>
        <w:t>Es bleibt folglich zu prüfen, ob das auf acht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7.2</w:t>
      </w:r>
    </w:p>
    <w:p>
      <w:r>
        <w:t>Das Einreiseverbot soll in seiner spezialpräventiven Wirkung weitere Straftaten des Beschwerdeführers in der Schweiz - und im Schengen-Raum -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 Soweit der Beschwerdeführer dieses mit Hinweis auf seine ihm regelmässig gewährten Suspensionsbewilligungen in Frage stellen will, gilt es in diesem Zusammenhang darauf hinzuweisen, dass es sich dabei um streng kontrollierte und zeitlich klar begrenzte Besuchsaufenthalte in der Schweiz handelt.</w:t>
      </w:r>
    </w:p>
    <w:p>
      <w:r>
        <w:rPr>
          <w:b/>
        </w:rPr>
        <w:t>E. 7.3</w:t>
      </w:r>
    </w:p>
    <w:p>
      <w:r>
        <w:t>Den öffentlichen Interessen stellt der Beschwerdeführer sein privates Interesse an persönlichen Kontakten zu seiner in der Schweiz lebenden Ehegattin und seinen drei - teilweise noch minderjährigen - Kindern gegenüber und macht geltend, insbesondere die beiden jüngeren Kinder litten sehr unter seiner Abwesenheit. Dabei ist vorab festzuhalten, dass die Pflege regelmässiger Kontakte zu seiner Familie bereits am fehlenden Anwesenheitsrecht des Beschwerdeführers in der Schweiz scheitert (vgl. BVGE 2013/4 E. 7.4.1 m.H; Urteil des BVGer C-4240/2014 vom 15. Juli 2015 E. 9.4). Es stellt sich somit die Frage, ob die über die Verweigerung des Aufenthaltsrechts hinausgehende, durch das Einreiseverbot zusätzlich bewirkte Erschwernis vor Art. 8 Ziff. 1 EMRK und Art. 13 Abs. 1 BV standhält.</w:t>
      </w:r>
    </w:p>
    <w:p>
      <w:r>
        <w:rPr>
          <w:b/>
        </w:rPr>
        <w:t>E. 7.3.1</w:t>
      </w:r>
    </w:p>
    <w:p>
      <w:r>
        <w:t>Der Beschwerdeführer hat das bestehende Einreiseverbot durch seine mehrfachen, teils schweren Straftaten über einen längeren Zeitraum hinweg bewusst und selbstverschuldet in Kauf genommen. Er musste davon ausgehen, dass sein Verhalten weitreichende und langfristige Konsequenzen für sich und seine Familie haben wird. Die mit dem Einreiseverbot einhergehende Einschränkung seiner persönlichen Interessen hat der Beschwerdeführer hinzunehmen, zumal diese aufgrund der von ihm ausgehenden schwerwiegenden Gefahr für hohe Rechtsgüter zum Schutz der öffentlichen Sicherheit und Ordnung erforderlich ist (vgl. Art. 8 Abs. 2 EMRK). So anerkennt auch der Europäische Gerichtshof für Menschenrechte (EGMR) - insbesondere im Falle von Betäubungsmitteldelikten - ein berechtigtes Interesse der Vertragsstaaten an einem harten Durchgreifen und einer damit einhergehenden zulässigen Einschränkung des Familienlebens (vgl. Urteile K.M. gegen die Schweiz vom 2. Juni 2015, 6009/10, Ziff. 55, Baghli gegen Frankreich vom 30. November 1999, 34374/97, Ziff. 48 in fine, Mehemi gegen Frankreich vom 26. September 1997, 25017/94, Ziff. 37, je m.w.H.). Das bestehende Einreiseverbot untersagt dem Beschwerdeführer Besuchsaufenthalte bei seiner Familie in der Schweiz zudem nicht gänzlich, ist es ihm doch zumutbar, mittels Gesuch die zeitweilige Suspension der angeordneten Fernhaltemassnahme zu beantragen (Art. 67 Abs. 5 AuG). Von dieser Möglichkeit hat der Beschwerdeführer in den letzten Jahren bereits mehrfach Gebrauch machen können. Ferner stehen ihm in seinem Aufenthaltsstaat diverse Kommunikationsmittel - wie etwa Briefverkehr, Videotelefonie, Telefonate - zur Verfügung, um mit seinen Kindern und der Ehefrau in Kontakt zu treten (vgl. statt vieler BVGE 2013/4 E. 7.4.3).</w:t>
      </w:r>
    </w:p>
    <w:p>
      <w:r>
        <w:rPr>
          <w:b/>
        </w:rPr>
        <w:t>E. 7.3.2</w:t>
      </w:r>
    </w:p>
    <w:p>
      <w:r>
        <w:t>Das Bundesverwaltungsgericht verkennt derweilen die Auswirkungen des vorliegenden Einreiseverbots auf das Wohl der beiden noch minderjährigen Kinder, das vorrangig zu berücksichtigen ist (vgl. Art. 3 Abs. 1 des Übereinkommens vom 20. November 1989 über die Rechte des Kindes [KRK, SR 0.107]), nicht. Das Interesse dieser Kinder, mit beiden Elternteilen Kontakte zu pflegen, bildet dennoch nur einen Gesichtspunkt unter anderen, den es miteinzubeziehen gilt (vgl. BVGE 2014/20 E. 8.3.6). Im vorliegenden Fall kann dem Kindeswohl durch Ferienbesuche im Kosovo sowie - wie oben erwähnt - durch Besuchsaufenthalte des Beschwerdeführers in der Schweiz mittels Suspensionsgesuchen Rechnung getragen werden. Sowohl der Besitz der Schweizer Staatsbürgerschaft der Ehefrau und der Kinder als auch der Einwand, wonach es der Familie unter anderem wegen Kosten- und Zeitproblemen nicht möglich sei, ihn oft in seinem Heimatland zu besuchen, vermag die vom Beschwerdeführer beantragte (vollständige) Aufhebung des Einreiseverbots nicht zu rechtfertigen.</w:t>
      </w:r>
    </w:p>
    <w:p>
      <w:r>
        <w:rPr>
          <w:b/>
        </w:rPr>
        <w:t>E. 7.4</w:t>
      </w:r>
    </w:p>
    <w:p>
      <w:r>
        <w:t>Eine Abwägung der gegenläufigen öffentlichen und privaten Interessen führt das Bundesverwaltungsgericht zum Ergebnis, dass die Verfügung der Vorinstanz vom 2. Dezember 2015 dem Grundsatze nach zwar zu bestätigen ist. Im Rahmen der notwendigen gesamthaften Betrachtung gelangt das Gericht aber zur Auffassung, dass die ausgesprochene Dauer von acht Jahren zu lang ist und dem öffentlichen Interesse an der Fernhaltung des Beschwerdeführers mit einem Einreiseverbot von sechs Jahren hinreichend Rechnung getragen wird, zumal die in der Schweiz begangenen Straftaten mindestens zehn Jahre zurückliegen, der Beschwerdeführer nach bewilligten Suspensionsgesuchen stets fristgerecht in sein Heimatland zurückgekehrt ist, sich im Kosovo offenbar eine neue Existenz geschaffen hat und ein Einkommen aus der IV bezieht, sowie Ehefrau und noch minderjährige Kinder in der Schweiz zurücklässt.</w:t>
      </w:r>
    </w:p>
    <w:p>
      <w:r>
        <w:rPr>
          <w:b/>
        </w:rPr>
        <w:t>E. 8</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 Nicht zu beanstanden ist deshalb die bereits mit Verfügung vom 23. April 2013 bewirkte Ausschreibung des Beschwerdeführers im SIS, welche unverändert für die Dauer des nunmehr auf sechs Jahre befristeten Einreiseverbots weiterhin Geltung hat. Mit Verweis auf die vorangegangenen Ausführungen ist ein überwiegendes öffentliches Interesse nicht nur der Schweiz, sondern sämtlicher Schengen-Staaten an der längerfristigen Fernhaltung des Beschwerdeführers gegeben.</w:t>
      </w:r>
    </w:p>
    <w:p>
      <w:r>
        <w:rPr>
          <w:b/>
        </w:rPr>
        <w:t>E. 9</w:t>
      </w:r>
    </w:p>
    <w:p>
      <w:r>
        <w:t>Aus diesen Erwägungen ergibt sich, dass die angefochtene Verfügung Bundesrecht verletzt (Art. 49 VwVG). Die Beschwerde ist daher teilweise gutzuheissen und das Einreiseverbot bis zum 22. April 2019 zu befristen.</w:t>
      </w:r>
    </w:p>
    <w:p>
      <w:r>
        <w:rPr>
          <w:b/>
        </w:rPr>
        <w:t>E. 10.1</w:t>
      </w:r>
    </w:p>
    <w:p>
      <w:r>
        <w:t>Entsprechend dem Ausgang des Verfahrens sind die reduzierten Verfahrenskosten von Fr. 750.- dem Beschwerdeführer aufzuerlegen und der Restbetrag des geleisteten Kostenvorschusses ist ihm zurückzuerstatten (vgl. Art. 63 Abs. 1 VwVG i.V.m. Art. 1 ff. des Reglements vom 21. Februar 2008 über die Kosten und Entschädigungen vor dem Bundesverwaltungsgericht [VGKE, SR 173.320.2]).</w:t>
      </w:r>
    </w:p>
    <w:p>
      <w:r>
        <w:rPr>
          <w:b/>
        </w:rPr>
        <w:t>E. 10.2</w:t>
      </w:r>
    </w:p>
    <w:p>
      <w:r>
        <w:t>Im Umfang seines Obsiegens ist dem Beschwerdeführer zudem eine gekürzte Parteientschädigung zu Lasten der Vorinstanz zuzusprechen (Art. 64 Abs. 1 VwVG i.V.m. Art. 7 ff. VGKE). Die Parteivertreterin stellte in der am 19. Oktober 2016 eingereichten Honorarnote eine Entschädigung von Fr. 4'716.15 in Rechnung ([knapp 17 Stunden] à Fr. 250.-, Auslagen von Fr. 349.35). Weil der Wohnsitz des Beschwerdeführers als Empfänger der anwaltlichen Dienstleistung im Ausland liegt, ist keine Mehrwertsteuer bzw. kein Zuschlag für die Mehrwertsteuer zu entrichten (Art. 1 Abs. 2 i.V.m. Art. 8 Abs. 1 und Art. 18 Abs. 1 MWSTG [SR 641.20] sowie Art. 9 Abs. 1 Bst. c VGKE). In Würdigung aller Bemessungsfaktoren ist die Parteientschädigung deshalb auf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