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F-3957/2022 vom 11. Oktober 2022</w:t>
      </w:r>
    </w:p>
    <w:p>
      <w:r>
        <w:t>Bundesverwaltungsgericht, 2022-10-11, DE</w:t>
      </w:r>
    </w:p>
    <w:p>
      <w:r>
        <w:rPr>
          <w:b/>
        </w:rPr>
        <w:t xml:space="preserve">Quelle: </w:t>
      </w:r>
      <w:r>
        <w:t>https://mcp.opencaselaw.ch/entscheid/bvger_F-3957_2022</w:t>
      </w:r>
    </w:p>
    <w:p>
      <w:r>
        <w:t>FR: TAF F-3957/2022 du 11 octobre 2022</w:t>
      </w:r>
    </w:p>
    <w:p>
      <w:r>
        <w:t>IT: TAF F-3957/2022 del 11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Gestützt auf Art. 111a Abs. 1 AsylG wurde auf einen Schriftenwechsel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dem erneuten (rechtzeitig gestellten) Wiederaufnahmegesuch der Vorinstanz im Rahmen einer Remonstration fristgerecht (Antwort binnen zwei Wochen; vgl.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[DVO, ABl. L 222/3 vom 5.9.2003]) zugestimmt haben, ist die Zuständigkeit Kroatiens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F-3903/2022 vom 16. September 2022 E. 4; F-3448/2022 vom 22. August 2022 E. 6.2; F-1653/2022 vom 21. April 2022 E. 6.2; D-1404/2022 vom 30. März 2022; D-735/2022 vom 28. Februar 2022 E. 6.5.2; D-735/2022 vom 22. Februar 2022 E. 6.5.2). Für eine Änderung der Rechtsprechung besteht auch in Würdigung der von den Beschwerdeführenden gemachten Äusserungen zu ihrer Behandlung in Kroatien keine Veranlassung. Folglich ist die Anwendung von Art. 3 Abs. 2 Dublin-III-VO nicht gerechtfertigt.</w:t>
      </w:r>
    </w:p>
    <w:p>
      <w:r>
        <w:rPr>
          <w:b/>
        </w:rPr>
        <w:t>E. 6</w:t>
      </w:r>
    </w:p>
    <w:p>
      <w:r>
        <w:t>Nachfolgend ist zu prüfen, ob das Selbsteintrittsrecht nach Art. 17 Abs. 1 erster Satz Dublin-III-VO auszuüben ist.</w:t>
      </w:r>
    </w:p>
    <w:p>
      <w:r>
        <w:rPr>
          <w:b/>
        </w:rPr>
        <w:t>E. 6.1</w:t>
      </w:r>
    </w:p>
    <w:p>
      <w:r>
        <w:t>Die Beschwerdeführenden bringen im Wesentlichen vor, zum Zeitpunkt des Entscheids sei der medizinische Sachverhalt seitens der Vorinstanz nicht abgeklärt worden. Aufgrund der heutigen Aktenlage könnten keine hinreichenden Aussagen zum Gesundheitszustand der Mutter (Beschwerdeführerin 2) und der Tochter (Beschwerdeführerin 3) und deren Behandelbarkeit in Kroatien gemacht werden. Entsprechend könne die Vorinstanz nicht beurteilen, welche medizinische respektive psychiatrisch-psychologische Behandlung notwendig sei, und habe deshalb auch ihr Ermessen nicht korrekt ausgeübt. Unklar sei ferner, ob überhaupt Schlafplätze für vulnerable Personengruppen zur Verfügung stehen würden. Von der Rechtsvertretung am 15. September 2022 telefonisch vorgenommene Abklärungen (vgl. ergänzende Eingabe vom 19. September 2022) hätten ergeben, dass das spezielle Auffangzentrum für vulnerable Personengruppen (Kapazität von 90 bis 100 Plätzen) aktuell renoviert werde. Die diesbezüglich von der Vorinstanz erwähnten Informationen der Schweizer Botschaft in Kroatien seien somit nicht aktuell und würden keine ausreichende Grundlage für eine Wegweisung von Familien und vulnerablen Personen bieten.</w:t>
      </w:r>
    </w:p>
    <w:p>
      <w:r>
        <w:rPr>
          <w:b/>
        </w:rPr>
        <w:t>E. 6.2</w:t>
      </w:r>
    </w:p>
    <w:p>
      <w:r>
        <w:t>Die Beschwerdeführenden vermögen nicht darzutun, dass die sie bei einer Rückführung nach Kroatien zu erwartenden Bedingungen derart schlecht sind, dass sie zu einer Verletzung von Art. 3 EMRK führen könnten.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den Beschwerdeführenden die Möglichkeit offen, die vor Ort tätigen karitativen Organisationen zu kontaktieren. Bezüglich der Einschulung der Kinder gilt es festzuhalten, dass der Zugang zur Bildung für Kinder gewährleistet ist (vgl. bspw. Asylum Information Database [AIDA]: Country Report Croatia: 2021 update, S. 90 f., &lt; https://asylumineurope.org/wp-content/uploads/2022/04/AIDA-HR_2021update.pdf&gt;, abgerufen am 30.09.2022).</w:t>
      </w:r>
    </w:p>
    <w:p>
      <w:r>
        <w:rPr>
          <w:b/>
        </w:rPr>
        <w:t>E. 6.3</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w:t>
      </w:r>
    </w:p>
    <w:p>
      <w:r>
        <w:t>In casu liegen keine konkreten Anhaltspunkte vor, wonach die Gesundheit der Beschwerdeführenden bei einer Überstellung nach Kroatien ernsthaft gefährdet würde. Die von ihnen geltend gemachten Beschwerden stellen keine derart gravierenden Erkrankungen dar und können in Kroatien behandelt werden. Dies gilt sowohl für die psychiatrische Behandlung der Beschwerdeführerin 2 als auch für eine Fortsetzung der hier aufgegleisten psychiatrisch-psychotherapeutischen Behandlung der an PTBS leidenden Beschwerdeführerin 3. Kroatien verfügt grundsätzlich über eine ausreichende medizinische Infrastruktur (Urteil des BVGer D-735/2022 vom 28. Februar 2022 E. 6.7.3). Sodann bestehen nebst den staatlichen Einrichtungen auch Angebote von Nichtregierungsorganisationen für die psychische Betreuung, womit von einem genügenden psychologischen Behandlungsangebot auszugehen ist (vgl. Urteil des BVGer F-4368/2020 vom 14. Januar 2021 E. 7.3 m.H.). In dieser Situation kann der Vorinstanz auch nicht vorgehalten werden, dass sie den medizinischen Sachverhalt nicht abgeklärt und bei den kroatischen Behörden keine individuellen Zusicherungen bezüglich des Zugangs zu adäquater medizinischer Versorgung eingeholt hatte. Sie war dazu mangels rechtlicher Relevanz des Sachverhalts nicht verpflichtet. Die Vorbringen der Beschwerdeführenden in ihrer ergänzenden Eingabe vom 19. September 2022, wonach das spezielle Auffangzentrum für vulnerable Personen in Kroatien aktuell renoviert werde, vermag daran auch nichts zu ändern, zumal es sich dabei allenfalls um ein zeitlich begrenztes Vollzugshindernis handelt. Ausserdem werden die schweizerischen Behörden, die mit dem Vollzug der angefochtenen Verfügung beauftragt sind, dem aktuellen Gesundheitszustand der Beschwerdeführenden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w:t>
      </w:r>
    </w:p>
    <w:p>
      <w:r>
        <w:rPr>
          <w:b/>
        </w:rPr>
        <w:t>E. 6.5</w:t>
      </w:r>
    </w:p>
    <w:p>
      <w:r>
        <w:t>Es liegen weder völkerrechtliche Vollzugshindernisse vor, die die Schweiz zum Selbsteintritt verpflichten würden, noch Rechtsfehler bei der Ermessensbetätigung. 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7</w:t>
      </w:r>
    </w:p>
    <w:p>
      <w:r>
        <w:t>Die Vorinstanz ist demnach zu Recht gestützt auf Art. 31a Abs. 1 Bst. b AsylG auf die Asylgesuche nicht eingetreten und hat die Wegweisung nach Kroatien angeordnet.</w:t>
      </w:r>
    </w:p>
    <w:p>
      <w:r>
        <w:rPr>
          <w:b/>
        </w:rPr>
        <w:t>E. 8</w:t>
      </w:r>
    </w:p>
    <w:p>
      <w:r>
        <w:t>Nach dem Gesagten ist die Beschwerde abzuweisen. Mit dem vorliegenden Urteil fällt die am 15. September 2022 erteilte aufschiebende Wirkung dahin.</w:t>
      </w:r>
    </w:p>
    <w:p>
      <w:r>
        <w:rPr>
          <w:b/>
        </w:rPr>
        <w:t>E. 9</w:t>
      </w:r>
    </w:p>
    <w:p>
      <w:r>
        <w:t>Bei diesem Ausgang des Verfahrens wären die Kosten den Beschwerdeführenden aufzuerlegen (Art. 63 Abs. 1 VwVG). Gestützt auf Art. 6 Bst. b des Reglements vom 21. Februar 2008 über die Kosten und Entschädigungen vor dem Bundesverwaltungsgericht (VGKE, SR 173.320.2) sind ihnen jedoch die Verfahrenskosten zu erlassen, weshalb sich eine Beurteilung des Gesuchs um Gewährung der unentgeltlichen Rechtspflege erübrigt.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