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F-3955/2022 vom 28. November 2023</w:t>
      </w:r>
    </w:p>
    <w:p>
      <w:r>
        <w:t>Bundesverwaltungsgericht, 2023-11-28, FR</w:t>
      </w:r>
    </w:p>
    <w:p>
      <w:r>
        <w:rPr>
          <w:b/>
        </w:rPr>
        <w:t xml:space="preserve">Quelle: </w:t>
      </w:r>
      <w:r>
        <w:t>https://mcp.opencaselaw.ch/entscheid/bvger_F-3955_2022</w:t>
      </w:r>
    </w:p>
    <w:p>
      <w:r>
        <w:t>FR: TAF F-3955/2022 du 28 novembre 2023</w:t>
      </w:r>
    </w:p>
    <w:p>
      <w:r>
        <w:t>IT: TAF F-3955/2022 del 28 novembre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2020 VII/4 consid. 2.2).</w:t>
      </w:r>
    </w:p>
    <w:p>
      <w:r>
        <w:rPr>
          <w:b/>
        </w:rPr>
        <w:t>E. 3.1</w:t>
      </w:r>
    </w:p>
    <w:p>
      <w:r>
        <w:t>En vertu de l'art. 40 al. 1 LEI, les autorisations prévues aux art. 32 à 35 et 37 à 39 LEI sont octroyées par les cantons. Les compétences de la Confédération sont réservées, notamment, en matière de procédure d'approbation (cf. art. 99 LEI).</w:t>
      </w:r>
    </w:p>
    <w:p>
      <w:r>
        <w:rPr>
          <w:b/>
        </w:rPr>
        <w:t>E. 3.2</w:t>
      </w:r>
    </w:p>
    <w:p>
      <w:r>
        <w:t>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b est soumis au SEM pour approbation.</w:t>
      </w:r>
    </w:p>
    <w:p>
      <w:r>
        <w:rPr>
          <w:b/>
        </w:rPr>
        <w:t>E. 3.3</w:t>
      </w:r>
    </w:p>
    <w:p>
      <w:r>
        <w:t>En l'occurrence, le SPOP a soumis sa décision à l'approbation du SEM en conformité avec la législation et la jurisprudence (cf., sur ce sujet, ATF 141 II 169 consid. 4.3.1, 4.3.2 et 6.1 et arrêt du TAF F-3202/2018 du 28 février 2019 consid. 4.2). Il s'ensuit que ni le SEM, ni, a fortiori, le Tribunal ne sont liés par la décision du SPOP du 13 janvier 2022 et peuvent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w:t>
      </w:r>
    </w:p>
    <w:p>
      <w:r>
        <w:rPr>
          <w:b/>
        </w:rPr>
        <w:t>E. 4.2</w:t>
      </w:r>
    </w:p>
    <w:p>
      <w:r>
        <w:t>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4.3</w:t>
      </w:r>
    </w:p>
    <w:p>
      <w:r>
        <w:t>En plus des conditions précitées, la relation de l'intéressé avec la Suisse doit être si étroite qu'on ne puisse exiger de lui qu'il aille vivre dans un autre pays, notamment dans son pays d'origine (sur l'ensemble des éléments qui précèdent, cf., notamment, arrêt du TAF F-5341/2020 du 7 février 2022 consid. 4.2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ibid.).</w:t>
      </w:r>
    </w:p>
    <w:p>
      <w:r>
        <w:rPr>
          <w:b/>
        </w:rPr>
        <w:t>E. 5.1</w:t>
      </w:r>
    </w:p>
    <w:p>
      <w:r>
        <w:t>A l'issue de l'appréciation des critères relatifs à la reconnaissance d'un cas d'une extrême gravité, le Tribunal se doit d'abord de rappeler qu'un séjour illégal ou précaire ne doit normalement pas être pris en considération ou alors seulement dans une mesure très restreinte (cf. notamment ATF 130 II 39 consid. 3 ; ATAF 2007/45 consid. 4.4 et 6.3 ; 2007/44 consid. 5.2).</w:t>
      </w:r>
    </w:p>
    <w:p>
      <w:r>
        <w:rPr>
          <w:b/>
        </w:rPr>
        <w:t>E. 5.2</w:t>
      </w:r>
    </w:p>
    <w:p>
      <w:r>
        <w:t>Dans le cas particulier, les recourants résident certes depuis plusieurs années en Suisse, mais n'ont jamais été au bénéfice d'une autorisation idoine et leur séjour n'y est actuellement toléré qu'en raison de la procédure d'autorisation de séjour qu'ils y ont introduite. Leur séjour sur le territoire helvétique est donc à qualifier de précaire au sens de la jurisprudence précitée, et par conséquent, ne doit être que peu, voire pas, pris en considération. Dans ces conditions, les recourants ne sauraient que très faiblement tirer argument de la durée de leur séjour en Suisse pour bénéficier d'une autorisation de séjour en application de l'art. 30 al. 1 let. b LEI.</w:t>
      </w:r>
    </w:p>
    <w:p>
      <w:r>
        <w:rPr>
          <w:b/>
        </w:rPr>
        <w:t>E. 5.3</w:t>
      </w:r>
    </w:p>
    <w:p>
      <w:r>
        <w:t>Partant, il y a lieu d'examiner si des critères d'évaluation autres que la durée du séjour en Suisse seraient de nature à faire admettre que les intéressés remplissent les conditions à l'octroi des autorisations de séjour sollicitées. S'agissant du comportement des recourants durant leur séjour en Suisse, le Tribunal ne saurait faire abstraction des infractions aux prescriptions de police des étrangers que les intéressés y ont commises, d'une part en y séjournant (B._______), d'autre part en y séjournant et en y travaillant (A._______), durant une période prolongée sans aucune autorisation. Le Tribunal constate à cet égard que le recourant a ainsi été condamné, par le Ministère public de l'arrondissement de l'Est vaudois, pour entrée illégale, séjour illégal et contravention à la loi sur le contrôle des habitants (art. 24 LCH). S'il ne faut certes pas exagérer l'importance des infractions précitées, il n'en demeure pas moins que le travail au noir représente une menace pour la protection des travailleurs, engendrant des pertes de recettes fiscales et provoquant des distorsions de concurrence (ATF 141 II 57 consid. 5.3 et 7; arrêt du TAF F-7464/2014 consid. 4.4). Ainsi, compte tenu des manquements des recourants aux dispositions régissant le séjour des étrangers en Suisse, par lesquels ils ont démontré un manque de respect flagrant envers l'ordre juridique de ce pays, ceux-ci ne peuvent pas se prévaloir d'un bon comportement dans ce pays tel que requis pour l'examen de leur intégration sous l'angle de l'art. 30 al. 1 let. b LEI.</w:t>
      </w:r>
    </w:p>
    <w:p>
      <w:r>
        <w:rPr>
          <w:b/>
        </w:rPr>
        <w:t>E. 5.4</w:t>
      </w:r>
    </w:p>
    <w:p>
      <w:r>
        <w:t>Sur le plan professionnel et financier, s'il convient de constater que les intéressés semblent ne pas avoir eu recours à l'assistance publique et avoir subvenu à leurs besoins durant leur séjour en Suisse, leur intégration professionnelle (soit en particulier celle de A._______) s'est déroulée de manière illégale. Il n'apparaît en outre pas que le prénommé aurait acquis en Suisse des qualifications ou des connaissances spécifiques qu'il ne pourrait pas mettre à profit dans son pays d'origine, ni qu'il y aurait réalisé une ascension professionnelle particulière, susceptible de contribuer à justifier l'admission d'un cas de rigueur au sens de l'art. 30 al. 1 let. b LEI.</w:t>
      </w:r>
    </w:p>
    <w:p>
      <w:r>
        <w:rPr>
          <w:b/>
        </w:rPr>
        <w:t>E. 5.5</w:t>
      </w:r>
    </w:p>
    <w:p>
      <w:r>
        <w:t>S'agissant de l'intégration des intéressés sur le plan social, le Tribunal relève que les ceux-ci n'ont pas établi y avoir réussi une intégration spécialement marquée sur ce point (cf. arrêt du TAF F-7464/2014 du 23 novembre 2016 consid. 4.3 et ATF 130 II 39 consid. 4). Ils n'ont en particulier pas démontré s'être particulièrement investis dans la vie associative et culturelle de leur canton ou de leur commune de résidence, en participant activement à des sociétés locales, par exemple. S'agissant enfin de la situation des enfants des recourants, dont l'identité du dernier né n'a pas été communiquée au Tribunal, s'ils sont certes tous nés en Suisse, ils n'y ont de loin pas atteint, compte tenu de leur jeune âge, un degré de formation suffisant à compromettre sérieusement leur adaptation aux conditions de vie des pays d'origine de leurs parents.</w:t>
      </w:r>
    </w:p>
    <w:p>
      <w:r>
        <w:rPr>
          <w:b/>
        </w:rPr>
        <w:t>E. 5.6</w:t>
      </w:r>
    </w:p>
    <w:p>
      <w:r>
        <w:t>Quant aux possibilités de réintégration des recourants, soit au Kosovo ou en Albanie, le Tribunal relève que ceux-ci ont passé toute leur enfance et leur adolescence dans leurs pays d'origine respectifs. Bien qu'ils résident depuis plusieurs années en Suisse, on ne saurait pour autant conclure qu'ils soient devenus à ce point étrangers à leurs pays qu'ils ne puissent pas envisager d'y poursuivre leur existence. On relèvera à ce titre que la situation économique générale prévalant dans les pays d'origine des intéressés, qui affecte l'ensemble de la population restée sur place, ne constitue pas un motif pour retenir l'existence d'un cas de rigueur au sens de l'art. 30 al. 1 let. b LEI ; il faudrait en sus qu'il existe d'autres difficultés concrètes propres à la situation des recourants, comme par exemple un handicap sérieux, ce qui n'apparaît pas être le cas en l'espèce (cf. arrêts du TAF F-4530/2020 du 23 juin 2022 consid. 5.7.1 ; F-1851/2020 du 9 novembre 2020 consid. 6.5).</w:t>
      </w:r>
    </w:p>
    <w:p>
      <w:r>
        <w:rPr>
          <w:b/>
        </w:rPr>
        <w:t>E. 5.7</w:t>
      </w:r>
    </w:p>
    <w:p>
      <w:r>
        <w:t>Aussi, au terme d'une appréciation de l'ensemble des circonstances de la présente cause, le Tribunal considère, à l'instar de l'autorité inférieure, que la situation des recourants, envisagée dans sa globalité, n'est pas constitutive d'un cas individuel d'extrême gravité au sens de l'art. 30 al. 1 let. b LEI et de la jurisprudence restrictive en la matière. C'est donc à juste titre que l'autorité inférieure a refusé de donner son approbation à l'octroi, en faveur des l'intéressés et de leurs enfants, d'une autorisation de séjour fondée sur cette disposition. 6.Dans la mesure où les intéressés n'obtiennent pas d'autorisation de séjour, c'est également à bon droit que l'autorité intimée a prononcé leur renvoi de Suisse conformément à l'art. 64 al. 1 let. c LEI. 6.1 Aux termes de l'art. 83 LEtr, le SEM décide d'admettre provisoirement l'étranger si l'exécution du renvoi ou de l'expulsion n'est pas possible, n'est pas licite ou ne peut être raisonnablement exigée (al. 1). Le Tribunal doit ainsi d'examiner si l'exécution de ce renvoi est possible, licite et raisonnablement exigible au sens de l'art. 83 al. 2 à 4 LEI. Si l'une de ces trois conditions n'est pas réalisée, le renvoi est inexécutable (ATAF 2009/51 consid. 5.4). 6.2 L'exécution du renvoi n'est pas possible lorsque l'étranger ne peut pas quitter la Suisse pour son Etat d'origine, son Etat de provenance ou un Etat tiers, ni être renvoyé dans un de ces Etats (art. 83 al. 2 LEI). En l'espèce, aucun élément au dossier ne permet de penser que le renvoi des intéressés se heurterait à des obstacles d'ordre technique et se révèlerait ainsi matériellement impossible au sens de l'art. 83 al. 2 LEI. L'exécution du renvoi des recourants est donc en principe possible. 6.3 Cela étant, les intéressés ont allégué que l'exécution de leur renvoi n'était, ni légale, ni raisonnablement exigible, au motif qu'ils seraient menacés, en Albanie, comme au Kosovo, par leurs familles respectives en raison de leur union. 6.3.1 L'exécution du renvoi n'est pas licite lorsque le renvoi de l'étranger dans son Etat d'origine ou de provenance ou dans un Etat tiers est contraire aux engagements de la Suisse relevant du droit international (art. 83 al. 3 LEI). Tel est le cas s'agissant de l'étranger pouvant démontrer qu'il serait exposé à un traitement prohibé par l'art. 3 CEDH ; la personne qui invoque cette disposition doit démontrer à satisfaction qu'il existe pour elle un véritable risque concret et sérieux d'être victime de tortures ou de traitements inhumains ou dégradants en cas de renvoi dans son pays (ATAF 2013/27 consid. 8.2).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du 7 décembre 2021, req. no 57467/15, par. 129 et Paposhvili c. Belgique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F-5582/2022 du 13 décembre 2022 consid. 4.6). 6.3.2 Les recourants n'ont pas fourni d'indices concrets et concluants qui indiqueraient que les autorités de leurs pays d'origine (soit le Kosovo et l'Albanie) avaient toléré et toléreraient à l'avenir la mise à exécution de menaces portant un risque objectif et réel de subir des préjudices sérieux de la part des personnes (soit en particulier de la part du frère de la recourante) dont ils ont déclaré craindre des représailles en raison de leur union et ils n'ont en outre pas établi la réalité d'une crainte fondée d'être actuellement exposés au Kosovo ou en Albanie à des préjudices suffisamment sérieux, ni même, si tel était le cas, qu'ils ne pourraient pas y obtenir une protection adéquate. 6.3.3 Il sied de rappeler ici que, par arrêté du 6 mars 2009, entré en force le 1er avril 2009, le Conseil fédéral a désigné le Kosovo comme exempt de persécution (« safe country ») au sens de l'art. 6a al. 2 let. a LAsi. A ce titre, il est présumé que les persécutions non étatiques, déterminantes en matière d'asile ou en matière d'exécution du renvoi (illicéité), font l'objet d'une protection par les autorités kosovares compétentes. Le Tribunal relève à ce propos qu'il a déjà eu l'occasion de constater à plusieurs reprises que les forces de l'ordre au Kosovo ont la capacité et la volonté d'agir contre des menaces ou attaques perpétrées par des tiers contre les ressortissants de leur pays (voir arrêts du Tribunal E-1308/2015 du 14 septembre 2016, consid. 5.4.1 et E-983/2015 du 25 mars 2015, consid. 4.3 et les références citées ; également ATAF 2011/50 consid. 4.7 et l'arrêt du TAF E-4730/2015 du 24 novembre 2016, consid. 4.1). 6.4.4 Par conséquent, la volonté et la capacité des autorités du Kosovo à prévenir la survenance de persécutions ne peuvent être contestées. Celles-ci ne renoncent pas à poursuivre les auteurs d'actes pénalement répréhensibles et offrent donc, en principe, une protection appropriée pour empêcher la perpétration de tels actes illicites (cf. ATAF 2011/50 consid. 4.7 in fine et, entre autres, arrêts du Tribunal E-1308/2015 du 14 septembre 2016 consid. 5.4.1 et E-438/2015 du 8 mars 2016 consid. 3.6. La protection nationale adéquate ne peut s'entendre comme la nécessité d'une protection absolue, puisqu'aucun Etat n'est en mesure de garantir une telle protection à chacun de ses citoyens en tout lieu et à tout moment (cf. arrêt du Tribunal administratif fédéral D-5895/2008 du 11 mai 2011 ; JICRA 2006 n° 18 consid. 10.3.2). 6.4.5 Le Tribunal relèvera en outre que, selon le principe de la subsidiarité de la protection internationale par rapport à la protection nationale, consacré à l'art. 1 de la Convention relative au statut des réfugiés du 28 juillet 1951 (Conv. réfugiés, RS 0.142.30), il peut être exigé d'un étranger (comme d'un requérant d'asile) qu'il épuise, dans son propre pays, les possibilités de protection contre d'éventuelles persécutions non étatiques avant de solliciter celle d'un Etat tiers (cf. ATAF 2013/11 consid. 5.1 ; 2011/51 consid. 6.1), étant précisé qu'il ne peut être exigé d'un Etat qu'il garantisse, en tout temps et en tous lieux, la sécurité absolue de ses citoyens (cf. notamment ATAF 2011/51 consid. 7.1 à 7.4 et jurisp. cit. ; 2008/5 consid. 4.2). Il convient de relever au surplus que les craintes d'une vendetta à laquelle les recourants prétendent être exposés doivent être relativisées, en particulier si l'on considère que les menaces que le frère de la recourante auraient proférées à l'endroit de celle-ci, à supposer qu'elles soient réelles, remontent désormais à près de dix ans (soit à la fin à la fin de l'année 2013) et que, nonobstant le prétendu danger pour sa vie qu'elle aurait alors encouru en raison de sa liaison avec le recourant, l'intéressée n'a définitivement quitté son pays que quelques années plus tard, lorsqu'elle est venue rejoindre en Suisse son concubin en 2017. Dans ces conditions, le Tribunal est amené à rejeter l'argument tiré des menaces auxquelles les recourants prétendent être exposés (en raison des préceptes de vengeance par le sang figurant dans le code de conduite traditionnel, le « kanun ») en cas de retour au Kosovo ou en Albanie. L'exécution du renvoi des recourants doit en conséquence être considérée comme licite. 6.5 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LEI). En l'occurrence, il apparaît que les pays d'origine des recourants ne connaissent pas une situation de guerre, de guerre civile ou de violence généralisée qui permettrait de présumer l'existence d'une mise en danger concrète au sens de l'art. 83 al. 4 LEI. Les intéressés n'ont par ailleurs pas fait valoir de problèmes de santé d'une gravité telle qu'ils puissent constituer des obstacles à l'exécution de leur renvoi, laquelle apparaît ainsi raisonnablement exigible. 6.6 Au vu des considérations qui précèdent, le SEM était fondé à tenir l'exécution du renvoi des intéressés pour possible, licite et raisonnablement exigible. 7.Il ressort de ce qui précède que, par sa décision du 8 juillet 2022, l'autorité inférieure n'a ni violé le droit fédéral ni constaté des faits pertinents de manière inexacte ou incomplète ; en outre, cette décision n'est pas inopportune (art. 49 PA). Le recours est en conséquence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