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F-3944/2020 vom 31. August 2020</w:t>
      </w:r>
    </w:p>
    <w:p>
      <w:r>
        <w:t>Bundesverwaltungsgericht, 2020-08-31, DE</w:t>
      </w:r>
    </w:p>
    <w:p>
      <w:r>
        <w:rPr>
          <w:b/>
        </w:rPr>
        <w:t xml:space="preserve">Quelle: </w:t>
      </w:r>
      <w:r>
        <w:t>https://mcp.opencaselaw.ch/entscheid/bvger_F-3944_2020</w:t>
      </w:r>
    </w:p>
    <w:p>
      <w:r>
        <w:t>FR: TAF F-3944/2020 du 31 août 2020</w:t>
      </w:r>
    </w:p>
    <w:p>
      <w:r>
        <w:t>IT: TAF F-3944/2020 del 31 agosto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Gestützt auf Art. 111a Abs. 1 AsylG wurde auf einen Schriftenwechsel verzichtet.</w:t>
      </w:r>
    </w:p>
    <w:p>
      <w:r>
        <w:rPr>
          <w:b/>
        </w:rPr>
        <w:t>E. 3</w:t>
      </w:r>
    </w:p>
    <w:p>
      <w:r>
        <w:t>Ein Abgleich mit der europäischen Fingerabdruck-Datenbank (Zentraleinheit Eurodac) ergab, dass der Beschwerdeführer am 19. Dezember 2019 in der Tschechischen Republik ein Asylgesuch gestellt hatte. Das SEM ersuchte deshalb die tschechischen Behörden am 9. Juli 2020 um Wiederaufnahme des Beschwerdeführers im Sinne von Art. 18 Abs. 1 Bst. b Dublin-III-VO. Die tschechischen Behörden hiessen das Ersuchen am 15. Juli 2020 gestützt auf Art. 18 Abs. 1 Bst. d Dublin-III-VO gut. Vor diesem Hintergrund ist die Zuständigkeit der Tschechischen Republik zur Durchführung des Asyl- und Wegweisungsverfahrens gegeben.</w:t>
      </w:r>
    </w:p>
    <w:p>
      <w:r>
        <w:rPr>
          <w:b/>
        </w:rPr>
        <w:t>E. 4.1</w:t>
      </w:r>
    </w:p>
    <w:p>
      <w:r>
        <w:t>Auf Beschwerdeebene wird im Wesentlichen dargelegt, die abweisende Haltung der Tschechischen Republik gegenüber der Aufnahme von Flüchtlingen sei hinlänglich bekannt. Eine Studie der Flüchtlingshilfsorganisationen aus den vier Visegrad-Staaten (Tschechische Republik, Polen, Ungarn und Slowakei) zeige, dass 70% der tschechischen Bevölkerung gegen die Aufnahme von Flüchtlingen sei und im Jahr 2018 lediglich 558 Personen über eine Form von humanitärem Schutz verfügt hätten beziehungsweise die Anerkennungsquote nur bei 3.2% gelegen habe. Verschiedene Berichte belegten, dass der Zugang zum Asylverfahren im tschechischen Asylsystem das Hauptproblem sei. Daneben stelle die systematische Inhaftierung von Asylsuchenden, darunter auch verletzliche Personen und Familien, das zweitgrösste Problem dar. Ausserdem würden die asylsuchenden Personen aufgefordert, für ihre Unterbringung im Asylverfahren zu bezahlen. Der Beschwerdeführer habe in der Tschechischen Republik den erschwerten Zugang zum Asylverfahren, zur Unterbringung und medizinischen Unterstützung am eigenen Leib erfahren müssen. Er könne sich aufgrund seiner Suchtproblematik nicht mehr unter Kontrolle halten. Am 11. Juli 2020 sei er nach der Einnahme einer Methadonüberdosis ohnmächtig geworden und habe notfallmässig ins L._______ eingeliefert werden müssen. Er möchte sein Suchtproblem in den Griff bekommen. Da er finanziell nicht in der Lage sei, selbst für die Unterbringungskosten aufzukommen, fürchte er, bei einer Wegweisung in die Tschechische Republik obdachlos zu werden. Aus dem Risiko einer Gesundheitsverschlechterung resultiere eine Verletzung von Art. 3 EMRK. Die Vorinstanz sei deshalb anzuweisen, auf das Asylgesuch einzutreten. Es könne mit hoher Wahrscheinlichkeit davon ausgegangen werden, dass der effektive Zugang zum Asylverfahren und zur medizinischen Versorgung aufgrund administrativer Hürden nicht gewährleistet sein werde. Ein ebenfalls nicht zu vernachlässigender Faktor spiele der Umstand, dass bei einer Rückkehr in die Tschechische Republik die Gefahr einer weiteren Inhaftierung bestehe. Der Zugang zur Gesundheitsversorgung in der Tschechischen Republik sei in der angefochtenen Verfügung nur ungenügend geprüft worden. Somit und im Sinne eines Eventualbegehrens sei die Verfügung wegen Verletzung des rechtlichen Gehörs im Sinne der Verletzung der Begründungspflicht und wegen unvollständiger oder unrichtiger Feststellung des Sachverhalts aufzuheben und die Sache zur Neubeurteilung an das SEM zurückzuweisen.Indem die Vorinstanz den Verzicht der Anwendung der Souveränitätsklausel damit begründe, es gebe keinen Grund zur Annahme, dass eine Überstellung in die Tschechische Republik einen Verstoss gegen Art. 3 EMRK bedeuten würde, habe sie ihren Ermessensspielraum nicht gesetzeskonform ausgeübt. Vorliegend sei keine vertiefte Prüfung der Situation des Beschwerdeführers erfolgt. Zahlreiche Indizien würden gegen eine völkerrechtskonforme Durchführung des Asylverfahrens in der Tschechischen Republik sprechen. Zusammenfassend habe die Vorinstanz nur eine oberflächliche Prüfung eines allfälligen Selbsteintritts vorgenommen. Beim Beschwerdeführer handle es sich um eine vulnerable Person und es sei dringend angezeigt, dass auf sein Asylgesuch eingetreten werde. Eventualiter sei die Angelegenheit zur vollständigen Feststellung des Sachverhalts an die Vorinstanz zurückzuweisen und die entsprechenden Garantien für Unterbringung und medizinische Versorgung seien von den tschechischen Behörden einzufordern.</w:t>
      </w:r>
    </w:p>
    <w:p>
      <w:r>
        <w:rPr>
          <w:b/>
        </w:rPr>
        <w:t>E. 4.2</w:t>
      </w:r>
    </w:p>
    <w:p>
      <w:r>
        <w:t>Mit seinen Vorbringen fordert der Beschwerdeführer die Anwendung von Art. 17 Abs. 1 Dublin-III-VO respektive Art. 29a Abs. 3 der Asylverordnung 1 vom 11. August 1999 (AsylV 1, SR 142.311).</w:t>
      </w:r>
    </w:p>
    <w:p>
      <w:r>
        <w:rPr>
          <w:b/>
        </w:rPr>
        <w:t>E. 5.1</w:t>
      </w:r>
    </w:p>
    <w:p>
      <w:r>
        <w:t>Die Tschechische Republik ist Vertragsstaat des Abkommens vom 28. Juli 1951 über die Rechtsstellung der Flüchtlinge (FK, SR 0.142.30) sowie des Zusatzprotokolls der FK vom 31. Januar 1967 (SR 0.142.301), der EMRK und des Übereinkommens vom 10. Dezember 1984 gegen Folter und andere grausame, unmenschliche oder erniedrigende Behandlung oder Strafe (FoK, SR 0.105) und kommt ihren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Bislang haben weder das Bundesverwaltungsgericht noch der Europäische Gerichtshof für Menschenrechte (EGMR) - und im Übrigen auch nicht der Europäische Gerichtshof (EuGH) - systemische Schwachstellen im tschechischen Asylsystem erkannt. Diesbezüglich sind auch die in der Beschwerde zitierten Quellen, wonach das tschechische Asyl- und Aufnahmeverfahren in der Kritik steht, nicht geeignet, systemische Mängel zu belegen. Gemäss den bisherigen Erkenntnissen des Bundesverwaltungsgerichts ist davon auszugehen, dass die Tschechische Republik die Verfahrensrichtlinie und die Aufnahmerichtlinie grundsätzlich einhält und dass insbesondere, was Dublin-Rückkehrer betrifft, ein rechtsstaatliches Asylverfahren mit Beschwerdemöglichkeit und der Zugang zu medizinischer Behandlung, die zumindest die Notversorgung und die unbedingt erforderliche Behandlung von Krankheiten und schweren psychischen Störungen umfasst, besteht (vgl. Art. 19 Abs. 1 und 2 Aufnahmerichtlinie). Unbehelflich ist dabei auch, dass die Lebensverhältnisse oder die medizinische Versorgung in der Schweiz günstiger sind. Entsprechend gibt es derzeit keinen Anlass, von einem systemischen Mangel betreffend die staatliche Unterstützung und Einrichtungen für Asylsuchende auszugehen (vgl. Urteile des BVGer F-6836/2019 vom 27. Februar 2020 E. 6.3; F-81/2020, F-84/2020 vom 13. Februar 2020 E. 7.2; F-5352/2019, F-5343/2019 vom 18. Oktober 2019 E. 6.2; E-2414/2019 vom 21. August 2019 E. 6). Unter diesen Umständen ist die Anwendung von Art. 3 Abs. 2 Dublin-III-VO nicht gerechtfertigt.</w:t>
      </w:r>
    </w:p>
    <w:p>
      <w:r>
        <w:rPr>
          <w:b/>
        </w:rPr>
        <w:t>E. 5.3</w:t>
      </w:r>
    </w:p>
    <w:p>
      <w:r>
        <w:t>Der Beschwerdeführer hat kein konkretes und ernsthaftes Risiko dargetan, die tschechischen Behörden würden sich weigern, ihn wieder aufzunehmen und seinen Antrag auf internationalen Schutz unter Einhaltung der Regeln der Verfahrensrichtlinie zu prüfen. Den Akten sind auch keine Gründe für die Annahme zu entnehmen, die Tschechische Republik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der Tschechischen Republik seien derart schlecht, dass sie zu einer Verletzung von Art. 4 der Charta der Grundrechte der Europäischen Union (2012/C 326/02), Art. 3 EMRK oder Art. 3 FoK führen könnten. Er hat auch keine konkreten Hinweise für die Annahme dargelegt, die Tschechische Republik würde ihm dauerhaft die ihm gemäss Aufnahmerichtlinie zustehenden minimalen Lebensbedingungen vorenthalten. Bei einer allfälligen vorübergehenden Einschränkung steht es ihm offen, sich nötigenfalls an die dafür zuständigen Behörden zu wenden und die ihm zustehenden Aufnahmebedingungen auf dem Rechtsweg einzufordern (vgl. Art. 26 Aufnahmerichtlinie). Seine Befürchtung, in der Tschechischen Republik obdachlos zu werden, erweist sich demnach als unbegründet. Gleiches gilt für das anlässlich des Ausreisegesprächs vom 3. August 2020 geltend gemachte Vorbringen, in der Tschechischen Republik werde er überhaupt nicht unterstützt (vgl. SEM-act. 1068444-30/1).</w:t>
      </w:r>
    </w:p>
    <w:p>
      <w:r>
        <w:rPr>
          <w:b/>
        </w:rPr>
        <w:t>E. 5.4.1</w:t>
      </w:r>
    </w:p>
    <w:p>
      <w:r>
        <w:t>Wie dem Austrittsbericht des L._______ vom 11. Juli 2020 zu entnehmen ist, war der Beschwerdeführer vom 10. Juli 2020 bis am 11. Juli 2020 auf der N._______ hospitalisiert, wobei eine Opiatintoxikation bei bekannter Polytoxikomanie ED 10.07.2020 und eine Hepatitis C diagnostiziert wurden. Dem Bericht zufolge erklärte der Beschwerdeführer, er habe am Eintrittstag nicht seine übliche Methadondosis (40mg) von der Ausgabestelle genommen, sondern von einem Dealer "etwas anderes" gekauft und eingenommen beziehungsweise subcutan gespritzt. Diesen Fehler werde er nie mehr machen. Da sich die weitere Überwachung komplikationslos gestaltete, konnte der Beschwerdeführer am 11. Juli 2020 in gebessertem Allgemeinzustand wieder entlassen werden (vgl. SEM-act. 1068444-24/3). Mit E-Mail vom 28. Juli 2020 teilte die Pflege im Bundesasylzentrum der Vorinstanz mit, sie gehe aufgrund der Anamnese des Beschwerdeführers davon aus, dass er keine Epilepsie habe, sondern diese Krankheit als Vorwand nutze, um das Medikament Pregabalin zu bekommen. Im Bundes-asylzentrum werde jedoch wegen einer möglichen Missbrauchsgefahr kein Pregabalin abgegeben (SEM-act. 1068444-26/3). Vor diesem Hintergrund ist zu bezweifeln, dass der Beschwerdeführer tatsächlich an Epilepsie leidet, umso mehr, als die angebliche Krankheit durch keinerlei medizinische Unterlagen belegt wurde.</w:t>
      </w:r>
    </w:p>
    <w:p>
      <w:r>
        <w:rPr>
          <w:b/>
        </w:rPr>
        <w:t>E. 5.4.2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5.4.3</w:t>
      </w:r>
    </w:p>
    <w:p>
      <w:r>
        <w:t>Eine solche Situation ist vorliegend aufgrund der aktenkundigen und geschilderten gesundheitlichen Beeinträchtigungen nicht gegeben. Der Beschwerdeführer konnte nicht nachweisen, dass eine Überstellung seine Gesundheit ernsthaft gefährden würde. Sein Gesundheitszustand vermag eine Unzulässigkeit im Sinne der erwähnten restriktiven Rechtsprechung nicht zu rechtfertigen. Die medizinischen Probleme sind auch nicht von einer derartigen Schwere, dass aus humanitären Gründen von einer Überstellung abgesehen werden müsste. Vor diesem Hintergrund ist der Beschwerdeführer - entgegen anderslautender Einschätzung - nicht als vulnerable Person anzusehen, sodass kein Anlass besteht, bei den tschechischen Behörden Garantien hinsichtlich Unterbringung und medizinischer Versorgung einzuholen.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Tschechische Republik verfügt über eine ausreichende medizinische Infrastruktur, weshalb sich der Beschwerdeführer im Bedarfsfall an das dafür zuständige medizinische Fachpersonal wenden kann. Im Weiteren ist darauf hinzuweisen, dass die mit der Überstellung beauftragten Behörden die besonderen Bedürfnisse des Beschwerdeführers - einschliesslich die der notwendigen medizinischen Versorgung, auch in Bezug auf die Corona-Problematik - berücksichtigen würden, sollte dies erforderlich sein (vgl. Art. 31 Abs. 2 Dublin-III-VO). So hat die Vorinstanz in der angefochtenen Verfügung festgehalten, die Reisefähigkeit werde erst kurz vor der Überstellung definitiv beurteilt. Ebenso hat die Vorinstanz dem Gesundheitszustand des Beschwerdeführers bei der Organisation der Überstellung in die Tschechische Republik Rechnung zu tragen, indem sie die tschechischen Behörden im Sinne von Art. 31 und Art. 32 Dublin-III-VO vorgängig über den Gesundheitszustand und die notwendige medizinische Behandlung zu informieren hat. Ausserdem erklärte die Vorinstanz in der angefochtenen Verfügung, dass sie dem Beschwerdeführer anlässlich der Überstellung die medizinischen Unterlagen aus der Schweiz und in angemessener Menge die von einem Arzt verschriebenen Medikamente mitgeben könne, bis er in der Tschechischen Republik den entsprechenden medizinischen Einrichtungen übergeben und dort versorgt werde.</w:t>
      </w:r>
    </w:p>
    <w:p>
      <w:r>
        <w:rPr>
          <w:b/>
        </w:rPr>
        <w:t>E. 5.5</w:t>
      </w:r>
    </w:p>
    <w:p>
      <w:r>
        <w:t>Das SEM führte im angefochtenen Entscheid aus, in Würdigung der Akten und der vom Beschwerdeführer geäusserten Umstände bestünden keine Gründe, die die Schweiz veranlassen würden, die Souveränitätsklausel anzuwenden. Es hat diesen Umständen in der Verfügung Rechnung getragen und sich insbesondere auch mit der gesundheitlichen Situation des Beschwerdeführers und der Möglichkeit einer entsprechenden medizinischen Versorgung in der Tschechischen Republik hinreichend auseinandergesetzt. Vor diesem Hintergrund ist nicht ersichtlich, inwiefern das SEM seiner Pflicht zur gesetzeskonformen Ermessensausübung nicht nachgekommen sein sollte und den Sachverhalt unvollständig festgestellt haben sollte. Eine Rückweisung der angefochtenen Verfügung an die Vorinstanz zwecks rechtsgenüglicher Sachverhaltsabklärung erübrigt sich somit. Der diesbezügliche Eventualantrag ist abzuweisen.</w:t>
      </w:r>
    </w:p>
    <w:p>
      <w:r>
        <w:rPr>
          <w:b/>
        </w:rPr>
        <w:t>E. 5.6</w:t>
      </w:r>
    </w:p>
    <w:p>
      <w:r>
        <w:t>Mit seiner Rechtsmittelbegründung kann der Beschwerdeführer insgesamt nicht das gewünschte Verfahrensziel - die Behandlung seines Asylgesuchs in der Schweiz - erreichen, zumal die Dublin-III-Verordnung den Schutzsuchenden kein Recht einräumt, den ihren Antrag prüfenden Staat selbst auszuwählen. Es sind ebenso keine Gründe ersichtlich, welche die Vorinstanz zu einem Selbsteintritt gemäss Art. 17 Dublin-III-VO beziehungsweise Art. 29a Abs. 3 AsylV 1 hätten verpflichten können.</w:t>
      </w:r>
    </w:p>
    <w:p>
      <w:r>
        <w:rPr>
          <w:b/>
        </w:rPr>
        <w:t>E. 6</w:t>
      </w:r>
    </w:p>
    <w:p>
      <w:r>
        <w:t>Die Vorinstanz ist angesichts der vorstehenden Erwägungen zu Recht und ohne Ermessensfehler auf das Asylgesuch des Beschwerdeführers nicht eingetreten und hat seine Wegweisung verfügt (vgl. Art. 31a Abs. 1 Bst. b und Art. 44 AsylG). Die Beschwerde ist folglich abzuweisen.</w:t>
      </w:r>
    </w:p>
    <w:p>
      <w:r>
        <w:rPr>
          <w:b/>
        </w:rPr>
        <w:t>E. 7</w:t>
      </w:r>
    </w:p>
    <w:p>
      <w:r>
        <w:t>Mit dem vorliegenden Urteil in der Hauptsache sind die Gesuche um Erteilung der aufschiebenden Wirkung und um Verzicht auf die Erhebung eines Kostenvorschusses gegenstandslos geworden. Der am 7. August 2020 angeordnete Vollzugsstopp fällt mit vorliegendem Urteil dahin und die Vorinstanz hat dem Beschwerdeführer eine neue Frist zur Ausreise anzusetzen.</w:t>
      </w:r>
    </w:p>
    <w:p>
      <w:r>
        <w:rPr>
          <w:b/>
        </w:rPr>
        <w:t>E. 8</w:t>
      </w:r>
    </w:p>
    <w:p>
      <w:r>
        <w:t>Bei diesem Ausgang des Verfahrens wären die Kosten grundsätzlich dem Beschwerdeführer aufzuerlegen (Art. 63 Abs. 1 VwVG). Nachdem aber die Begehren nicht als aussichtslos zu bezeichnen waren und im Übrigen von der Bedürftigkeit des Beschwerdeführers auszugehen ist, ist das Gesuch um Gewährung der unentgeltlichen Prozessführung gemäss Art. 65 Abs. 1 VwVG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