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F-3941/2015 vom 11. Juli 2016</w:t>
      </w:r>
    </w:p>
    <w:p>
      <w:r>
        <w:t>Bundesverwaltungsgericht, 2016-07-11, DE</w:t>
      </w:r>
    </w:p>
    <w:p>
      <w:r>
        <w:rPr>
          <w:b/>
        </w:rPr>
        <w:t xml:space="preserve">Quelle: </w:t>
      </w:r>
      <w:r>
        <w:t>https://mcp.opencaselaw.ch/entscheid/bvger_F-3941_2015</w:t>
      </w:r>
    </w:p>
    <w:p>
      <w:r>
        <w:t>FR: TAF F-3941/2015 du 11 juillet 2016</w:t>
      </w:r>
    </w:p>
    <w:p>
      <w:r>
        <w:t>IT: TAF F-3941/2015 del 11 luglio 2016</w:t>
      </w:r>
    </w:p>
    <w:p>
      <w:pPr>
        <w:pStyle w:val="Heading2"/>
      </w:pPr>
      <w:r>
        <w:t>Regeste</w:t>
      </w:r>
    </w:p>
    <w:p>
      <w:r>
        <w:t>Einreiseverbot</w:t>
      </w:r>
    </w:p>
    <w:p>
      <w:pPr>
        <w:pStyle w:val="Heading2"/>
      </w:pPr>
      <w:r>
        <w:t>Erwägungen</w:t>
      </w:r>
    </w:p>
    <w:p>
      <w:r>
        <w:rPr>
          <w:b/>
        </w:rPr>
        <w:t>E. 1.1</w:t>
      </w:r>
    </w:p>
    <w:p>
      <w:r>
        <w:t>Verfügungen des SEM, mit denen ein Einreiseverbot im Sinne von Art. 67 AuG (SR 142.20) verhängt wird,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Gestützt auf Art. 67 Abs. 2 Bst. a AuG kann ein Einreiseverbot gegenüber ausländischen Personen verfügt werden, die gegen die öffentliche Sicher­heit und Ordnung in der Schweiz oder im Ausland verstossen haben oder diese gefährden.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(vgl. Botschaft vom 8. März 2002 zum Bundesgesetz über die Ausländerinnen und Ausländer [AuG], BBl 2002 3709, 3813, nachfolgend: Botschaft zum AuG).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m.H.). Die Spezialprävention kommt zum Tragen, soweit Art. 67 Abs. 2 Bst. a AuG als alternativen Fernhaltegrund die Gefährdung der öffentlichen Sicherheit und Ordnung durch den Betroffenen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die Unverletzlichkeit der objektiven Rechtsordnung und der Rechtsgüter Einzelner (Botschaft zum AuG BBl 2002 3709, 3813).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80 Abs. 2 VZAE).</w:t>
      </w:r>
    </w:p>
    <w:p>
      <w:r>
        <w:rPr>
          <w:b/>
        </w:rPr>
        <w:t>E. 4.1</w:t>
      </w:r>
    </w:p>
    <w:p>
      <w:r>
        <w:t>Der Beschwerdeführer erwirkte zwischen 2003 und 2014 mehr als 20 Strafbefehle bzw. -urteile. Nebst Verstössen gegen das BetmG richteten sich die von ihm begangenen Delikte insbesondere gegen das Eigentum, aber auch gegen besonders sensible Rechtsgüter wie Leib und Leben sowie die Freiheit. Der Beschwerdeführer wurde deswegen zu Freiheitsstrafen von insgesamt mehr als dreieinhalb Jahren verurteilt (X act. 196 ff., 397 ff.).</w:t>
      </w:r>
    </w:p>
    <w:p>
      <w:r>
        <w:rPr>
          <w:b/>
        </w:rPr>
        <w:t>E. 4.2</w:t>
      </w:r>
    </w:p>
    <w:p>
      <w:r>
        <w:t>Mit der im erwähnten Zeitraum abgeurteilten Delinquenz des Beschwerdeführers hat sich der Fernhaltegrund einer Verletzung der öffentlichen Sicherheit und Ordnung gemäss Art. 67 Abs. 2 Bst. a AuG ohne Weiteres verwirklicht. Darüber hinaus konnte die Vorinstanz zu Recht auch von einer künftigen Gefährdung entsprechender Rechtsgüter ausgehen. Eine solche wird im Übrigen vom Beschwerdeführer auch nicht ausgeschlossen, wenn er in seiner Rechtsmitteleingabe geltend macht, er könnte - aufgrund der ihm nicht gewährten Aufenthaltsregelung und einer sich daraus ergebenden finanziellen Notlage - weiterhin zur Begehung von Eigentumsdelikten gezwungen sein.</w:t>
      </w:r>
    </w:p>
    <w:p>
      <w:r>
        <w:rPr>
          <w:b/>
        </w:rPr>
        <w:t>E. 5</w:t>
      </w:r>
    </w:p>
    <w:p>
      <w:r>
        <w:t>Es bleibt zu prüfen, ob die Massnahme in richtiger Ausübung des Ermes­sens ergangen und angemessen ist. Das Prinzip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 / Müller / Uhlmann, Allgemeines Verwaltungsrecht, 7. Aufl., 2016, Rz. 555 f.).</w:t>
      </w:r>
    </w:p>
    <w:p>
      <w:r>
        <w:rPr>
          <w:b/>
        </w:rPr>
        <w:t>E. 5.1</w:t>
      </w:r>
    </w:p>
    <w:p>
      <w:r>
        <w:t>Das öffentliche Interesse an einer Fernhaltung des Beschwerdeführers war im Zeitpunkt der vorinstanzlichen Verfügung schon aus objektiver, präventiv-polizeilicher Sicht als gewichtig einzustufen. Ausländische Personen, die über Jahre hinweg immer wieder straffällig werden, sind nach Möglichkeit von der Schweiz fernzuhalten. Dies gilt umso mehr, wenn die begangene Delinquenz wie vorliegend auch besonders sensible Rechtgüter betrifft. Es gilt durch eine kontinuierliche und konsequente Verwaltungspraxis zu verdeutlichen, dass erhebliche Delinquenz zum Schutz der öffentlichen Sicherheit und Ordnung eine Fernhaltemassnahme zur Folge haben kann.</w:t>
      </w:r>
    </w:p>
    <w:p>
      <w:r>
        <w:rPr>
          <w:b/>
        </w:rPr>
        <w:t>E. 5.2</w:t>
      </w:r>
    </w:p>
    <w:p>
      <w:r>
        <w:t>Aber auch in subjektiver Hinsicht wog das vom Beschwerdeführer vor Erlass der Fernhaltemassnahme verwirklichte Fehlverhalten schwer und war im Zeitpunkt der Verfügung von einer ernsthaften Gefahr für weitere Delikte auszugehen. Der Beschwerdeführer delinquierte schon bald nach seiner Einreise in die Schweiz und danach über Jahre hinweg immer wieder. Dabei zeichnete er sich durch eine augenscheinliche Uneinsichtigkeit beziehungsweise Unbelehrbarkeit aus. Weder eine ausgestandene Untersuchungshaft noch gegen ihn ausgesprochene Strafen konnten ihn von der Begehung weiterer Delikte abhalten. Dass diese Delinquenz massgeblich durch eine Drogensucht bedingt gewesen und die Sucht inzwischen weggefallen sein soll, bleibt eine aktenmässig nicht erstellte Behauptung. Diese steht sogar im Widerspruch zum forensisch-psychiatrischen Gutachten vom 15. Dezember 2011 (vgl. Bst. F. hievor), welches die Delinquenz des Beschwerdeführers zu einem erheblichen Teil mit dessen Persönlichkeitsstruktur in Verbindung bringt. Die sachverständige Person gelangt dort unter anderem zum Schluss, es bestehe beim Beschwerdeführer eine erhöhte Gefahr, erneut Straftaten zu begehen, wobei entsprechend seiner Persönlichkeitsstruktur (leichte Ausprägung einer dissozialen Persönlichkeitsstörung mit psychopathischen Zügen und eingeschliffenem parasitär-ziellosem Verhaltensmuster) auch in Zukunft von einer hohen Wahrscheinlichkeit von Eigentumsdelikten, Verstössen gegen das BetmG und häuslicher Gewalt zum Nachteil seiner Frau beziehungsweise einer anderen Intimpartnerin auszugehen sei (X act. 130). Im Übrigen behauptet der Beschwerdeführer - wie bereits an anderer Stelle erwähnt - selbst nicht, inskünftig ein deliktfreies Leben führen zu wollen und zu können. Dass er die Schuld daran den Behörden gibt und die Straftaten entsprechend zu bagatellisieren versucht, ist ein weiterer Ausdruck seiner manifesten Uneinsichtigkeit. Entsprechend stellten ihm denn auch beispielsweise das Departement Volkswirtschaft und Inneres des Kantons E._______ in dessen Einspracheentscheid vom 25. Juni 2012 betreffend Erteilung einer Aufenthaltsbewilligung (X act. 250 f.) und die Vollzugs- und Bewährungsdienste des Kantons C._______ im Entscheid vom 13. Februar 2012 (X act. 186) eine insgesamt schlechte Legalprognose.</w:t>
      </w:r>
    </w:p>
    <w:p>
      <w:r>
        <w:rPr>
          <w:b/>
        </w:rPr>
        <w:t>E. 5.3</w:t>
      </w:r>
    </w:p>
    <w:p>
      <w:r>
        <w:t>Der Beschwerdeführer verweist mit Bezug auf seine privaten Interessen insbesondere darauf, dass er Vater von zwei in der Schweiz lebenden Kindern sei und ein Angebot für eine Arbeitsstelle habe.</w:t>
      </w:r>
    </w:p>
    <w:p>
      <w:r>
        <w:rPr>
          <w:b/>
        </w:rPr>
        <w:t>E. 5.3.1</w:t>
      </w:r>
    </w:p>
    <w:p>
      <w:r>
        <w:t>Die vom Beschwerdeführer ins Feld geführte Einschränkung in der Ausübung familiärer Kontakte ist in erster Linie darauf zurückzuführen, dass er in der Schweiz kein Aufenthaltsrecht mehr besitzt. Es kann sich im Rahmen des vorliegenden Verfahrens einzig die Frage stellen, ob die über die Verweigerung des Aufenthaltsrechts hinausgehende, durch das Einreiseverbot zusätzlich bewirkte Erschwernis vor Art. 8 EMRK und Art. 13 BV standhält. Bei der in diesem Zusammenhang vorzunehmenden Interessenabwägung ist dem Kindeswohl Rechnung zu tragen (Art. 3 des Übereinkommens vom 20. November 1989 über die Rechte des Kindes [KRK, SR 0.107]). Das Kindesinteresse, mit beiden Elternteilen persönliche Kontakte pflegen zu können, ist im Rahmen der Interessenabwägung zu berücksichtigen, geniesst allerdings keinen absoluten Vorrang (vgl. BVGE 2014/20 E. 8.3.6 m.H.).</w:t>
      </w:r>
    </w:p>
    <w:p>
      <w:r>
        <w:rPr>
          <w:b/>
        </w:rPr>
        <w:t>E. 5.3.2</w:t>
      </w:r>
    </w:p>
    <w:p>
      <w:r>
        <w:t>Über das Verhältnis des Beschwerdeführers zu seinem jüngeren, 2013 ausserehelich geborenen Kind ist bis auf die im April 2015 erfolgte zivilrechtliche Anerkennung nichts aktenkundig. In Bezug auf den älteren, 2009 ehelich geborenen Sohn wird geltend gemacht und von der Kindsmutter bestätigt, dass ein intaktes, enges Verhältnis bestehe. Damit hatten sich - im Rahmen des Verfahrens um (erneute) Erteilung der Aufenthaltsbewilligung und Wegweisung aus der Schweiz - bereits die Migrationsbehörde des Kantons E._______ und die ihr übergeordnete Rechtsmittelinstanz zu befassen. Letztere schloss in ihrem Entscheid vom 25. Juni 2012 (X act. 246 ff.), dass weder in affektiver noch in wirtschaftlicher Hinsicht eine besonders enge Beziehung zwischen dem Beschwerdeführer und seinem Kind bestehe. Dass sich daran inzwischen Wesentliches geändert habe, wird zwar - wie erwähnt - implizit behauptet, aber in keiner Weise belegt oder auch nur näher erörtert.</w:t>
      </w:r>
    </w:p>
    <w:p>
      <w:r>
        <w:rPr>
          <w:b/>
        </w:rPr>
        <w:t>E. 5.3.3</w:t>
      </w:r>
    </w:p>
    <w:p>
      <w:r>
        <w:t>Zu Recht behauptet der Beschwerdeführer nicht, dass minimale Kontakte mit seinem Sohn nicht schon schriftlich, telefonisch, über elektronische Medien oder durch Besuche in seinem Heimatland aufrechterhalten werden könnten. Mit dem Einreiseverbot geht im Übrigen kein absolutes Verbot von Einreisen in die Schweiz einher. Vielmehr besteht die Möglichkeit, aus wichtigen Gründen die zeitweilige Suspension einer bestehenden Fernhaltemassnahme zu beantragen (Art. 67 Abs. 5 AuG).</w:t>
      </w:r>
    </w:p>
    <w:p>
      <w:r>
        <w:rPr>
          <w:b/>
        </w:rPr>
        <w:t>E. 5.4</w:t>
      </w:r>
    </w:p>
    <w:p>
      <w:r>
        <w:t>Unter den gegebenen Umständen stellt das auf vier Jahre befristete Einreiseverbot eine verhältnismässige und angemessene Massnahme zum Schutz der öffentlichen Sicherheit und Ordnung dar.</w:t>
      </w:r>
    </w:p>
    <w:p>
      <w:r>
        <w:rPr>
          <w:b/>
        </w:rPr>
        <w:t>E. 6</w:t>
      </w:r>
    </w:p>
    <w:p>
      <w:r>
        <w:t>Schliesslich bestreitet der Beschwerdeführer auch die Rechtmässigkeit der von der Vorinstanz angeord­neten Ausschreibung des Einreiseverbots im Schengener Informationssystem SIS. Dieses verunmögliche ihm, sein "soziales Umfeld in den anderen Schengen-Ländern zu pflegen".</w:t>
      </w:r>
    </w:p>
    <w:p>
      <w:r>
        <w:rPr>
          <w:b/>
        </w:rPr>
        <w:t>E. 6.1</w:t>
      </w:r>
    </w:p>
    <w:p>
      <w:r>
        <w:t>Ein Einreiseverbot gilt in räumlicher Hinsicht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6 Abs. 1 sowie Art. 14 Abs. 1 der Verordnung [EU] Nr. 2016/399 des Europäischen Parlaments und des Rates vom 9. März 2016 über einen Gemeinschaftskodex für das Überschreiten der Grenzen durch Personen [Schengener Grenzkodex, SGK, Abl. L 77 vom 23. März 2016]).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6.2</w:t>
      </w:r>
    </w:p>
    <w:p>
      <w:r>
        <w:t>Personen, die weder Bürger der EU noch Angehörige eines Staates sind, mit dem die EU ein Freizügigkeitsabkommen abgeschlossen hat (Drittstaatsangehörige), können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 Vor-aussetzung der Ausschreibung im SIS ist eine nationale Ausschreibung, die gestützt auf eine Entscheidung der zuständigen nationalen Instanzen ergeht (Art. 24 Ziff. 1 SIS-II-Verordnung). Die Ausschreibung erfolgt, wenn die nationale Entscheidung mit einer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Mitgliedstaates plant (Art. 24 Ziff. 2 Bst. b SIS-II-Verordnung).</w:t>
      </w:r>
    </w:p>
    <w:p>
      <w:r>
        <w:rPr>
          <w:b/>
        </w:rPr>
        <w:t>E. 6.3</w:t>
      </w:r>
    </w:p>
    <w:p>
      <w:r>
        <w:t>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 wie oben ausgeführt - von einer nicht unbeachtlichen Gefährdung der öffentlichen Sicherheit und Ordnung auszugehen und hat die Schweiz die Interessen der Gesamtheit aller Schengen-Staaten zu wahren (vgl. BVGE 2011/48 E. 6.1). Zum anderen hat der Beschwerdeführer persönliche Interessen an einem ungehinderten Zugang zum übrigen Schengen-Raum zwar geltend gemacht, aber in keiner Weise konkretisiert. Im Übrigen hindert die Ausschreibung die anderen Schengen-Staaten nicht daran, den Beschwerdeführer bei Vorliegen besonderer Gründe die Einreise ins eigene Hoheitsgebiet zu gestatten beziehungsweise ihm ein Visum mit räumlich beschränkter Gültigkeit zu erteilen. Die Ausschreibung im SIS erfolgte demnach zu Recht.</w:t>
      </w:r>
    </w:p>
    <w:p>
      <w:r>
        <w:rPr>
          <w:b/>
        </w:rPr>
        <w:t>E. 7</w:t>
      </w:r>
    </w:p>
    <w:p>
      <w:r>
        <w:t>Die Vorinstanz hat mit der angefochtenen Verfügung Bundesrecht nicht verletzt und den rechtserheblichen Sachverhalt richtig und vollständig festgestellt. Die Verfügung ist auch angemessen (Art. 49 VwVG). Die Beschwerde ist daher abzuweisen.</w:t>
      </w:r>
    </w:p>
    <w:p>
      <w:r>
        <w:rPr>
          <w:b/>
        </w:rPr>
        <w:t>E. 8</w:t>
      </w:r>
    </w:p>
    <w:p>
      <w:r>
        <w:t>Entsprechend dem Ausgang des Verfahrens sind dem Beschwerdeführer die Kosten aufzuerlegen (Art. 63 Abs. 1 VwVG i.V.m. Art. 1, Art. 2 und Art. 3 Bst. b des Reglements vom 21. Februar 2008 über die Kosten und Entschädigungen vor dem Bundesverwaltungsgericht).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