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F-391/2024 vom 30. Januar 2024</w:t>
      </w:r>
    </w:p>
    <w:p>
      <w:r>
        <w:t>Bundesverwaltungsgericht, 2024-01-30, FR</w:t>
      </w:r>
    </w:p>
    <w:p>
      <w:r>
        <w:rPr>
          <w:b/>
        </w:rPr>
        <w:t xml:space="preserve">Quelle: </w:t>
      </w:r>
      <w:r>
        <w:t>https://mcp.opencaselaw.ch/entscheid/bvger_F-391_2024</w:t>
      </w:r>
    </w:p>
    <w:p>
      <w:r>
        <w:t>FR: TAF F-391/2024 du 30 janvier 2024</w:t>
      </w:r>
    </w:p>
    <w:p>
      <w:r>
        <w:t>IT: TAF F-391/2024 del 30 gennaio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de la loi fédérale du 26 juin 1998 sur l'asile (LAsi, RS 142.31), devant le Tribunal, lequel statue alors définitivement, sauf demande d'extradition déposée par l'Etat dont le requérant cherche à se protéger (art. 83 let. d de la loi fédérale du 17 juin 2005 sur le Tribunal fédéral [LTF, RS 173.110]), exception non réalisée en l'espèce. La procédure devant le Tribunal est régie par la PA, pour autant que ni la LTAF (cf. art. 37 LTAF) ni la LAsi (cf. art. 6 LAsi) n'en disposent autrement. L'intéressé a qualité pour recourir (art. 48 al. 1 PA). Interjeté dans la forme (art. 52 al. 1 PA) et le délai (art. 108 al. 3 LAsi) prescrits par la loi, le recours est recevable. Conformément à l'art. 33a al. 2 phr. 1 PA, la langue de la procédure devant le Tribunal est en principe celle de la décision attaquée. Si les parties utilisent une autre langue officielle, celle-ci peut être adoptée (art. 33a al. 2 phr. 2 PA). En l'occurrence la procédure devant le SEM s'est déroulée en allemand, et la décision a été rendue dans cette langue, à savoir celle du lieu de résidence attribué à l'intéressé (cf. art. 16 al. 2 LAsi). Le recourant a toutefois rédigé son recours essentiellement en français et rien ne s'oppose à ce que cette langue ne soit adoptée ici. Ainsi, le Tribunal statuera en langue française.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ATAF 2017 VI/7 consid. 2.1 et 2017 VI/5 consid. 6.2).</w:t>
      </w:r>
    </w:p>
    <w:p>
      <w:r>
        <w:rPr>
          <w:b/>
        </w:rPr>
        <w:t>E. 3.2</w:t>
      </w:r>
    </w:p>
    <w:p>
      <w:r>
        <w:t>Dans une procédure de reprise en charge (en anglais : take back) telle la présente procédure,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(en lien avec les critères de détermination visés aux art. 8, 10 et 16 du règlement Dublin III) et à l'art. 20 par. 5 du règlement Dublin III (cf. ATAF 2019 VI/7 consid. 6.4.1.3, 2017 VI/5 consid. 6.2, 6.3, 8.2.1 et 8.3), qui ne sont pas données en l'espèce.</w:t>
      </w:r>
    </w:p>
    <w:p>
      <w:r>
        <w:rPr>
          <w:b/>
        </w:rPr>
        <w:t>E. 3.2.1</w:t>
      </w:r>
    </w:p>
    <w:p>
      <w:r>
        <w:t>Dans ce contexte, le Tribunal relève que c'est à tort que le recourant soutient que « les autorités italiennes auraient refusé de le prendre en charge ». En effet, il ne ressort aucunement du dossier que le SEM aurait adressé une telle requête à ces autorités ni qu'il aurait dû le faire. Comme expliqué ci-dessus, dans une procédure de reprise en charge, il n'appartient pas au SEM de procéder à une nouvelle détermination de l'Etat responsable.</w:t>
      </w:r>
    </w:p>
    <w:p>
      <w:r>
        <w:rPr>
          <w:b/>
        </w:rPr>
        <w:t>E. 3.2.2</w:t>
      </w:r>
    </w:p>
    <w:p>
      <w:r>
        <w:t>Il en découle en outre qu'il n'importe donc pas que le recourant ait été interpellé en Italie le 15 novembre 2023 (cf. consid. B supra), à savoir après l'enregistrement d'une demande d'asile en Roumanie, ou le 15 septembre 2023 (cf. consid. E supra), soit avant cet évènement. Il ne s'agit en effet pas - au vu de ce qui a été exposé ci-dessus - d'un fait déterminant pour l'issue de la cause et on ne saurait donc reprocher au SEM une quelconque violation de ses obligations procédurales, notamment la maxime inquisitoire, au motif qu'il n'a pas tiré au clair la divergence entre l'inscription figurant dans la base de données « Eurodac » et la réponse des autorités italiennes du 28 décembre 2023. Cela étant, en considération du récit du recourant sur son voyage migratoire, tout porte à croire que l'indication du 15 septembre 2023 dans la réponse de l'Italie relève de l'erreur de plume et que c'est bien le 15 novembre 2023 que l'intéressé a été interpellé dans ce pays.</w:t>
      </w:r>
    </w:p>
    <w:p>
      <w:r>
        <w:rPr>
          <w:b/>
        </w:rPr>
        <w:t>E. 3.3</w:t>
      </w:r>
    </w:p>
    <w:p>
      <w:r>
        <w:t>Ainsi qu'il ressort des investigations entreprises par le SEM dans la base de données « Eurodac » le 27 novembre 2023, le recourant, avant de solliciter l'octroi de l'asile en Suisse, avaient déposé une demande d'asile en Roumaine le 8 novembre 2023. Le 3 janvier 2024, soit dans le délai de deux mois prescrit par l'art. 23 par. 2 al. 1 du règlement Dublin III, le SEM a soumis aux autorités roumaines une requête aux fins de reprise en charge du requérant fondée sur l'art. 20 par. 5 du règlement Dublin III selon lequel l'Etat membre auprès duquel la demande de protection internationale a été introduite pour la première fois est tenu - dans les conditions prévues aux art. 23, 24, 25 et 29 du règlement Dublin III -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En date du 28 novembre 2023, soit dans le délai fixé à l'art. 25 par. 1 du règlement Dublin IIII, les autorités susmentionnées ont expressément accepté de reprendre en charge l'intéressé, sur la base de l'art. 18 par. 1 let. c du règlement Dublin III, précisant que l'intéressé avait disparu du centre d'hébergement et que son dossier avait été clos. La Roumaine a ainsi valablement reconnu sa compétence. S'agissant des allégations du recourant selon lesquelles il n'aurait pas déposé, ou n'aurait pas souhaité déposer, une demande d'asile en Roumanie, le Tribunal constate que le dépôt par l'intéressé d'une demande de protection internationale dans ce pays en date du 8 novembre 2023 est confirmé par les données enregistrées dans le système « Eurodac ». L'assertion du recourant est par ailleurs très succincte et n'est étayée par aucun élément concret ou probant et ne saurait donc se voir accorder de portée décisive dans ces conditions.</w:t>
      </w:r>
    </w:p>
    <w:p>
      <w:r>
        <w:rPr>
          <w:b/>
        </w:rPr>
        <w:t>E. 3.4</w:t>
      </w:r>
    </w:p>
    <w:p>
      <w:r>
        <w:t>Au vu de ce qui précède, c'est bien la Roumanie qui est responsable pour la procédure d'asile du recourant qui s'oppose toutefois à son transfert vers ce pays pour d'autres motifs.</w:t>
      </w:r>
    </w:p>
    <w:p>
      <w:r>
        <w:rPr>
          <w:b/>
        </w:rPr>
        <w:t>E. 4</w:t>
      </w:r>
    </w:p>
    <w:p>
      <w:r>
        <w:t>Durant son entretien individuel « Dublin » du 13 novembre 2023, l'intéressé a exposé qu'il ne voulait pas retourner en Roumanie car sa sécurité n'y était pas aussi bien assurée qu'en Suisse. Dans son recours, il soutient de plus, pour s'opposer à son transfert, qu'il serait soumis en Roumaine à des conditions de vie indigne. Dans ces circonstances, il convient en premier lieu d'examiner, en vertu de l'art. 3 par. 2 al. 2 du règlement Dublin III, s'il y a de sérieuses raisons de croire qu'il existe en Roumanie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 A titre liminaire, il sied de relever que ni le TAF, ni la Cour européenne des droits de l'Homme (ci-après : Cour EDH) ou la Cour de justice de l'Union européenne (ci-après : CJUE) n'ont à ce jour retenu l'existence de défaillances systémiques dans la procédure d'asile et les conditions d'accueil en Roumanie, au sens de l'art. 3 par. 2 RD III (cf. arrêts du TAF F-1537/2023 du 31 août 2023 consid. 7 et F-2677/2021 du 14 juin 2021 consid. 5 et les réf. cit.). En outre, le recourant n'apportant aucun élément permettant de remettre cette pratique en question. Par ailleurs, la Roumanie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en Roumaine de violation systématique des normes communautaires en la matière, la présomption de respect par cet Etat de ses obligations concernant les droits des requérants d'asile sur son territoire n'est pas renversée.</w:t>
      </w:r>
    </w:p>
    <w:p>
      <w:r>
        <w:rPr>
          <w:b/>
        </w:rPr>
        <w:t>E. 4.1</w:t>
      </w:r>
    </w:p>
    <w:p>
      <w:r>
        <w:t>La présomption de sécurité susmentionnée peut être renversée en présence, dans l'Etat membre désigné responsable, non seulement de défaillances systémiques dans la procédure d'asile et les conditions d'accueil des requérants d'asile (cf. consid. 4.1 supra), mais également d'indices sérieux laissant à penser que, dans le cas concret, les autorités de cet Etat ne respecteraient pas leurs engagements découlant du droit international public (ATAF 2011/9 consid. 6 et 2010/45 consid. 7.4 et 7.5). En l'espèce, du point de vue des conditions d'accueil des requérants et du respect des engagements découlant du droit international public, force est de constater que les allégations du recourant suivant lesquelles il serait soumis, en cas de retour en Roumanie à des conditions de vie indigne, n'est pas de nature à renverser la présomption précitée. En effet, l'intéressé n'a revêtu ces allégations d'aucune substance matérielle et n'a en particulier pas indiqué avoir saisi les autorités roumaines compétentes d'une demande, plainte ou dénonciation à cet égard. De l'appréciation du Tribunal, il ne s'agit donc pas d'un indice concret, objectif et sérieux permettant de mettre en doute le respect par la Roumaine de ses engagements découlant du droit international ou des directives européennes en matière d'asile. Cela étant, si l'intéressé devait, à l'issue de son transfert vers la Roumanie,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(arrêt du TAF F-7130/2017 du 28 mai 2018 consid. 5).</w:t>
      </w:r>
    </w:p>
    <w:p>
      <w:r>
        <w:rPr>
          <w:b/>
        </w:rPr>
        <w:t>E. 4.2</w:t>
      </w:r>
    </w:p>
    <w:p>
      <w:r>
        <w:t>Il sied enfin de rappeler que le règlement Dublin III ne confère pas aux demandeurs d'asile le droit de choisir l'Etat membre offrant, à leur avis, les meilleures conditions d'accueil comme Etat responsable de l'examen de leur demande d'asile (arrêt de la CJUE du 10 décembre 2013, C-394/12 Shamso Abdullahi c. Autriche [Grande Chambre], § 59 et § 62 ; ATAF 2017 VI/5 consid. 8.2.1, et 2010/45 consid. 8.3).</w:t>
      </w:r>
    </w:p>
    <w:p>
      <w:r>
        <w:rPr>
          <w:b/>
        </w:rPr>
        <w:t>E. 4.3</w:t>
      </w:r>
    </w:p>
    <w:p>
      <w:r>
        <w:t>Partant, l'application de l'art. 3 par. 2 al. 2 du règlement Dublin III ne se justifie pas en l'espèce.</w:t>
      </w:r>
    </w:p>
    <w:p>
      <w:r>
        <w:rPr>
          <w:b/>
        </w:rPr>
        <w:t>E. 5</w:t>
      </w:r>
    </w:p>
    <w:p>
      <w:r>
        <w:t>Sous l'angle de l'art. 17 du règlement Dublin III, le Tribunal relève que les allégations du recourant quant aux violences et mauvais traitements qu'il aurait subis - qui ne sont au demeurant aucunement étayés ni concrètement exposés - ne sont pas susceptibles de démontrer que, dans son cas concret, les conditions d'existence qui l'attendent en Roumanie sont à ce point mauvaises qu'elles seraient constitutives d'un traitement contraire à l'art. 3 CEDH ou à l'art. 3 CCT. Il en va de même de allégations de l'intéressé, selon lesquelles il avait été obligé de donner ses empreintes digitales. En effet, on ne saurait reprocher aux autorités roumaines de l'avoir incité à donner ses empreintes. Ce faisant, elles n'ont fait que leur devoir (art. 9 par. 1 et 14 par. 1 du règlement [UE] no 603/2013 du Parlement européen et du Conseil du 26 juin 2013 relatif à la création d'Eurodac pour la comparaison des empreintes digitales aux fins de l'application efficace du règlement Dublin III [JO L 180/1 du 29.6.2013]). En outre, comme déjà mentionné, les affirmations non étayées du recourant, selon lesquelles il n'a avait pas souhaité déposer une demande d'asile en Roumanie, ne sauraient convaincre. En ce qui concerne l'aspect médical,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no 41738/10 ; ATAF 2017 VI/7 consid. 6.2 et les réf. cit.). Une telle constellation n'est manifestement pas donnée en l'espèce, le recourant ne souffrant d'aucune atteinte à la santé de nature à s'opposer à un transfert vers la Roumanie. En effet, selon la communication médicale du 10 janvier 2024 versée au dossier, l'intéressé n'a émis que des plaintes légères (i.e. insomnies et maux de têtes) ou passagères (lèvres enflées) et n'a pas de rendez-vous médical planifié. Dans ce contexte, le Tribunal rappelle que la volonté du recourant de ne pas voir la suite de sa procédure d'asile traitée en Roumanie ne saurait être déterminante (cf. notamment ATAF 2010/45 consid. 8.3). Au vu de ce qui précède, le transfert du recourant vers la Roumanie n'est pas contraire aux obligations de la Suisse découlant de ses obligations internationales. Le SEM n'était donc pas tenu de renoncer au transfert et d'examiner lui-même la demande d'asile de l'intéressé.</w:t>
      </w:r>
    </w:p>
    <w:p>
      <w:r>
        <w:rPr>
          <w:b/>
        </w:rPr>
        <w:t>E. 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procédure d'asile menée par la Suisse. Contrairement à l'argumentation développée par le recourant, la motivation du SEM, comprenant une pesée des intérêts, tenant compte en particulier de l'état de santé du requérant, est fondée en fait et en droit, y compris au regard du principe de la proportionnalité.</w:t>
      </w:r>
    </w:p>
    <w:p>
      <w:r>
        <w:rPr>
          <w:b/>
        </w:rPr>
        <w:t>E. 7</w:t>
      </w:r>
    </w:p>
    <w:p>
      <w:r>
        <w:t>Au regard de l'ensemble des éléments qui précèdent, c'est à bon droit que le SEM n'est pas entré en matière sur la demande d'asile de l'intéressé, en application de l'art. 31a al. 1 let. b LAsi, et qu'il a prononcé son transfert vers la Roumanie conformément à l'art. 44 phr. 1 LAsi, étant précisé qu'aucune exception à la règle générale du renvoi n'est réalisée (cf. art. 32 OA 1). Le recours est par conséquent rejeté. S'avérant manifestement infondé, il est de plus rejeté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la requête d'exemption du paiement d'une avance de frais est sans objet. Le litige prenant fin, les mesures superprovisionnelles prononcées 18 janvier 2024 sont caduques.</w:t>
      </w:r>
    </w:p>
    <w:p>
      <w:r>
        <w:rPr>
          <w:b/>
        </w:rPr>
        <w:t>E. 8</w:t>
      </w:r>
    </w:p>
    <w:p>
      <w:r>
        <w:t>Les conclusions du recours étant d'emblée vouées à l'échec, la requête d'assistance judiciaire partielle (dispense des frais de procédure) est rejetée (cf. art. 65 al. 1 PA et 102m al. 1 LAsi). Vu l'issue de la cause, il y a lieu de mettre les frais de procédure à la charge du recourant, conformément à l'art. 63 al. 1 PA et aux art. 2, 3 let. a et 6a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