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F-391/2021 vom 12. Mai 2022</w:t>
      </w:r>
    </w:p>
    <w:p>
      <w:r>
        <w:t>Bundesverwaltungsgericht, 2022-05-12, DE</w:t>
      </w:r>
    </w:p>
    <w:p>
      <w:r>
        <w:rPr>
          <w:b/>
        </w:rPr>
        <w:t xml:space="preserve">Quelle: </w:t>
      </w:r>
      <w:r>
        <w:t>https://mcp.opencaselaw.ch/entscheid/bvger_F-391_2021</w:t>
      </w:r>
    </w:p>
    <w:p>
      <w:r>
        <w:t>FR: TAF F-391/2021 du 12 mai 2022</w:t>
      </w:r>
    </w:p>
    <w:p>
      <w:r>
        <w:t>IT: TAF F-391/2021 del 12 maggio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zur Erhebung der Beschwerde legitimiert (Art. 19 Abs. 2 StAhiG, Art. 48 Abs. 1 VwVG). Auf die frist- und formgerecht eingereichte Beschwerde ist einzutreten (Art. 50 Abs. 1 VwVG; Art.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2.3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offengelassen hat (vgl. Urteile des BVGer A-3045/2020, A-3047/2020 und A-3048/2020, jeweils vom 29. März 2021 E. 1.4.3).</w:t>
      </w:r>
    </w:p>
    <w:p>
      <w:r>
        <w:rPr>
          <w:b/>
        </w:rPr>
        <w:t>E. 3.1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3.2</w:t>
      </w:r>
    </w:p>
    <w:p>
      <w:r>
        <w:t>Das Amtshilfeersuchen der DGFP stützt sich auf Art. 28 DBA CH-FR (in der hier anwendbaren Fassung gemäss Art. 7 des Zusatzabkommens vom 27. August 2009 [AS 2010 5683; nachfolgend: Zusatzabkommen 2009]; Art. 11 Abs. 3 des Zusatzabkommens 2009) und auf Ziff. XI des im DBA CH-FR integrierten Zusatzprotokolls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3.3</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werden, sondern anhand bekannter Banknummern identifiziert werden (BGE 146 II 150 E. 5.6).</w:t>
      </w:r>
    </w:p>
    <w:p>
      <w:r>
        <w:rPr>
          <w:b/>
        </w:rPr>
        <w:t>E. 4.1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CH-FR nicht behindern.</w:t>
      </w:r>
    </w:p>
    <w:p>
      <w:r>
        <w:rPr>
          <w:b/>
        </w:rPr>
        <w:t>E. 4.2</w:t>
      </w:r>
    </w:p>
    <w:p>
      <w:r>
        <w:t>Das Bundesgericht hat in BGE 146 II 150 das Amtshilfeersuchen Frankreichs vom 11. Mai 2016 für zulässig erklärt, womit es implizit auch die Voraussetzungen von Ziff. XI Abs. 3 des Zusatzprotokolls als erfüllt erachtete. Dies wird von der Beschwerdeführerin nicht bestritten.</w:t>
      </w:r>
    </w:p>
    <w:p>
      <w:r>
        <w:rPr>
          <w:b/>
        </w:rPr>
        <w:t>E. 5.1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2. Abs.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5.2</w:t>
      </w:r>
    </w:p>
    <w:p>
      <w:r>
        <w:t>Gemäss Art. 28 Abs. 2 DBA CH-FR sind alle Informationen, die ein Vertragsstaat nach Absatz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5.3</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Amtshilfeverfahren (vgl. statt vieler Urteil des BVGer A-4192/2020, A-4194/2020, A-4196/2020 vom 25. März 2021 E. 2.5.1). Das völkerrechtliche Vertrauensprinzip spielt auch eine Rolle in Bezug auf das Spezialitätsprinzip. Gestützt auf das Vertrauensprinzip kann grundsätzlich als selbstverständlich vorausgesetzt werden, dass der Spezialitätsgrundsatz durch Staaten eingehalten wird, die mit der Schweiz durch einen Amts- oder Rechtshilfevertrag verbunden sind, ohne dass die Einholung einer ausdrücklichen Zusicherung notwendig wäre (vgl. BGE 128 II 407 E. 3.2 und 4.3.1, 115 Ib 373 E. 8, 107 Ib 264 E. 4b). Folglich ist die Wahrung des Grundsatzes erst bei konkreten Anhaltspunkten auf eine zweckwidrige Verwendung im ersuchenden Staat zu überprüfen bzw. eine entsprechende Zusicherung einzuholen (vgl. BGE 146 II 150 E. 7.3; 128 II 407 E. 3.2; BVGE 2018 III/1 E. 2.9.1).</w:t>
      </w:r>
    </w:p>
    <w:p>
      <w:r>
        <w:rPr>
          <w:b/>
        </w:rPr>
        <w:t>E. 6</w:t>
      </w:r>
    </w:p>
    <w:p>
      <w:r>
        <w:t>Die Beschwerdeführerin bringt zunächst vor, die französische Steuerbehörde mache keinerlei Angaben dazu, wie sie in den Besitz der Liste mit angeblich in Frankreich ansässigen Personen gelangt sei. Das Amtshilfeersuchen sei insgesamt sehr abstrakt gehalten. Die DGFP gebe nicht preis, welche Fakten sie zur Vermutung eines Steuerdelikts geführt hätten. Anstelle einer ordnungsgemässen Begründung unter Beifügung konkreter Beweise offeriere sie einzig eine vage und völlig unsubstantiierte Schätzung von vermuteten Steuerausfällen des französischen Fiskus. Ein konkreter Bezug zum vorliegenden Fall und damit der Beschwerdeführerin werde nicht hergestellt und eine weitergehende Begründung für das Amtshilfeersuchen fehle. Sie - die Beschwerdeführerin - habe ihren Wohnsitz in Frankreich aufgegeben und sei seit dem (...) 2011 in Luxemburg wohnhaft. Seit diesem Zeitpunkt habe sie keinerlei steuerliche Anknüpfung mehr zu Frankreich. Das DBA CH-FR finde für die Jahre 2012 bis 2015 folglich keine Anwendung und demnach sei auf das Amtshilfeersuchen betreffend diesen Zeitraum nicht einzutreten. Die Frage, ob mangelnde Ansässigkeit in einem der DBA-Staaten dazu führe, dass auf das Ersuchen nicht einzutreten sei, sei vom Bundesgericht bisher nur für Fälle entschieden worden, in denen die ersuchende Behörde über konkrete Anhaltspunkte für eine Ansässigkeit in ihrem Vertragsstaat verfügt habe (z.B. aufgrund einer Adresse oder gehäuften Bankbezügen in diesem Staat). In BGE 146 II 150 habe sich das Bundesgericht jedoch nicht mit der Frage der Anwendbarkeit des DBA aufgrund fehlender Ansässigkeit auseinandergesetzt, weshalb dieses Urteil nicht als Begründung für die Gutheissung des Ersuchens im vorliegenden Fall dienen könne. Die aus den Jahren 2006 bis 2008 stammenden Domizilcodes seien keine hinreichenden Anhaltspunkte für eine Steuerpflicht in Frankreich in den Steuerjahren 2010 bis 2015. Es sei die Aufgabe der Vorinstanz zu prüfen, ob die betroffene Person während der relevanten Periode in Frankreich ansässig gewesen sei. Wenn dies nicht der Fall sei, sei das DBA CH-FR nicht anwendbar und es würde keine rechtliche Grundlage für die Leistung von Amtshilfe bestehen. Anders als in den Urteilen BGE 142 II 161 und 142 II 218 habe die französische Steuerbehörde vorliegend die Steueransässigkeit in Luxemburg nie thematisiert oder in Frage gestellt, weshalb ab dem Jahr 2012 unbestrittenermassen keinerlei steuerrechtliche Anknüpfungspunkte zu Frankreich gegeben seien. Gegenständlich handle es sich - im Gegensatz zu jenen Bundesgerichtsentscheiden - zudem nicht um ein Einzelersuchen. Die Wahrscheinlichkeit, dass bei einem «Bulk-Request» eine grosse Anzahl der Domizilcodes falsch geschlüsselt oder nicht mehr aktuell seien, sei viel höher, als wenn ein Einzelersuchen vorliege, das aufgrund spezifischer Indizien gestellt werde. Die Vorinstanz gehe fälschlicherweise davon aus, dass das Bundesgericht impliziert habe, die Domizilcodes würden als Grundlage für die voraussichtliche Erheblichkeit der Daten genügen. Die Listen mit den Domizilcodes seien mittlerweile bereits 15 bzw. 13 Jahre alt und hätten deshalb an Aussagekraft verloren. In casu könne die Ansässigkeit der betroffenen Person in einem anderen Land sogar belegt und überprüft werden, weshalb die Aussagekraft der Domizilcodes gänzlich erloschen sei. Auf das Amtshilfeersuchen dürfe deshalb nicht eingetreten werden. Sollte das Gericht zum Schluss kommen, dass auf das Ersuchen einzutreten sei, führe die Steueransässigkeit in Luxemburg dazu, dass die erfragten Informationen der Jahre 2012 bis 2015 für Frankreich nicht erheblich seien. Anhaltspunkte für eine beschränkte Steuerpflicht in Frankreich würden ebenfalls nicht bestehen. In Bezug auf das Steuerjahr 2010 sei ausserdem zwischenzeitlich die Verjährung eingetreten, weshalb Frankreich an diesen Informationen kein erhebliches Interesse haben könne. Sollte das Gericht zum Schluss gelangen, dass die ersuchten Daten nach Frankreich geliefert werden dürften, sei die Vorinstanz deshalb anzuweisen, für das Jahr 2010 - wie beim Jahr 2015 - anstelle des Kontobetrags den Vermerk «n/a» für «not applicable» einzusetzen. Die Informationen betreffend die Beschwerdeführerin zu den Jahren 2010 sowie 2012 bis 2015 seien für die französische Steuerbehörde nicht nur voraussichtlich nicht erheblich, sondern tatsächlich in keiner Weise erheblich. Schliesslich führt die Beschwerdeführerin aus, es würden verschiedene Anzeichen dafür bestehen, dass die französische Steuerbehörde das Spezialitätsprinzip nicht wahren werde. Da sie bis heute keine eindeutige Erklärung bezüglich der Einhaltung dieses Prinzips abgegeben habe, sei dem vorliegenden Amtshilfeersuchen wegen der noch immer drohenden Verletzung von Art. 28 Abs. 2 DBA CH-FR keine Folge zu leisten. Die Vor-instanz erachte es offensichtlich selbst als notwendig, die DGFP darauf hinzuweisen, dass die übermittelten Daten in Frankreich nur in Verfahren gegen die betroffenen Personen und nur für den im Ersuchen genannten Sachverhalt verwendet werden dürfen. Indem sie dies in der Schlussverfügung explizit noch einmal erwähne, zeige sie, dass sie selbst mit einer möglichen Verletzung des Spezialitätsprinzips rechne. Am 25. Oktober 2018 sei das französische Steuerverfahrensrecht (Livre des procédures fiscales) um Art. L142 A ergänzt worden. Gemäss dieser Bestimmung sei die französische Steuerbehörde gegenüber der Staatsanwaltschaft von ihrer Schweigepflicht entbunden und dürfe mit dieser - unabhängig von einer Anzeige, eines Strafantrags oder eines laufenden Gerichtsverfahrens - Informationen austauschen. Der DGFP komme somit eine Befugnis zu, gemäss welcher sie die von der Vorinstanz erhaltenen Daten voraussetzungslos an die Staatsanwaltschaft weitergeben dürfe. Ebenfalls am 25. Oktober 2018 sei zudem Art. L228 des französischen Steuerverfahrensrechts um den Absatz I. ergänzt worden. Diese gesetzliche Norm besage, dass die französische Verwaltung, darunter die Steuerbehörde, zwingend verpflichtet sei, der Staatsanwaltschaft alle jene Daten weiterzuleiten, die zur Erhebung von Steuern von mehr als EUR 100'000 führen und dabei zusätzlich Strafzuschläge von 40 %, 80 % oder 100 % auslösen würden. Im vorliegenden Fall seien aufgrund der Höhe der relevanten Vermögenswerte und der Anzahl betroffener Steuerjahre die Voraussetzungen für eine zwingende Weiterleitung der Daten an die Staatsanwaltschaft zweifellos gegeben. Dies bestätige auch der mit dem Fall betraute französische Steuerkollege, gemäss welchem vorliegend die Schwelle der nachzuzahlenden Steuern von EUR 100'000 klar überschritten sei und ein Zuschlag von 80 % zur Anwendung gelangen würde, womit der Mindestzuschlag von 40 % ebenso klar erfüllt sei. Dabei spiele es keine Rolle, ob die französische Steuerbehörde der Vorinstanz die Einhaltung des Spezialitätsprinzips zugesichert habe. Dies umso mehr, als dass dies geschehen sei, bevor die französische Gesetzesanpassung in Kraft getreten sei. Es bestehe die erhebliche Gefahr, dass die Weitergabe der Daten selbst bei Vorliegen einer entsprechenden Bestätigung gerichtlich erzwungen werden könnte, da die Steuerbehörde andernfalls gegen geltendes Steuerverfahrensrecht verstossen würde. Ein Urteil des Cour de Cassation vom 6. April 2016 zeige im Übrigen auf, dass die Praxis der französischen Steuerbehörde darin bestehe, dem Spezialitätsprinzip ein geringes Gewicht beizumessen oder dessen Grenzen zumindest weit über jenen des Bundesgerichts auszulegen, sobald sie einmal im Besitz von Steuerdaten sei. Im konkreten Fall habe die französische Steuerbehörde amtshilfeweise erlangte Steuerinformationen an die Strafbehörde weitergeleitet, obwohl die Amtshilfe leistende luxemburgische Behörde vorgängig explizit auf das Spezialitätsprinzip und das prozessuale Beweisverwertungsverbot hingewiesen habe und obwohl die heutige Verpflichtung zur Weiterleitung der Daten damals noch nicht bestanden habe. Der seit 2018 verankerte Datenweitergabe-Automatismus stehe dem Spezialitätsprinzip in grundsätzlicher Weise entgegen und alle Zusicherungen, die sich nicht konkret auf Art. L142 A LPF und insbesondere auf Art. L228 I. LPF beziehen würden, seien ungenügend. Ferner sei der Informationsaustausch zwischen den französischen Behörden auch nach französischem Strafprozessrecht zwingend vorgeschrieben (Art. 40 Abs. 1 des Code de Procédure Penale). So müsse die Steuerbehörde die betreffenden Informationen zwingend an die zuständige Behörde weiterleiten, wenn sie Kenntnis von mutmasslich strafbaren Handlungen erlange.</w:t>
      </w:r>
    </w:p>
    <w:p>
      <w:r>
        <w:rPr>
          <w:b/>
        </w:rPr>
        <w:t>E. 7.1</w:t>
      </w:r>
    </w:p>
    <w:p>
      <w:r>
        <w:t>Das Bundesgericht hat das Amtshilfeersuchen Frankreichs vom 11. Mai 2016 im Rahmen von BGE 146 II 150 beurteilt und für zulässig erachtet (vgl. Sachverhalt Bst. F.c). Diese Rechtsprechung ist für das vorliegende Verfahren von präjudizieller Bedeutung. Dementsprechend bleibt für das Bundesverwaltungsgericht grundsätzlich kein Raum, die Amtshilfe in Abweichung zu den Erwägungen des Bundesgerichts zu verweigern (vgl. E. 2.3). Zu prüfen sind nunmehr einzig individuelle Vorbringen für eine Amtshilfeverweigerung. Auf die Rüge der Beschwerdeführerin, wonach das Amtshilfeersuchen nicht genügend begründet sei und kein konkreter Bezug zum vorliegenden Fall bestehe, ist folglich nicht einzugehen.</w:t>
      </w:r>
    </w:p>
    <w:p>
      <w:r>
        <w:rPr>
          <w:b/>
        </w:rPr>
        <w:t>E. 7.2</w:t>
      </w:r>
    </w:p>
    <w:p>
      <w:r>
        <w:t>Der Bezug zu Frankreich wird vorliegend durch die in den UBS-Listen aufgeführten Domizil-Codes hergestellt. Indem das Bundesgericht das Amtshilfeersuchen vom 11. Mai 2016 als zulässig beurteilt hat, hat es implizit auch den Domizil-Code als hinreichenden Anknüpfungspunkt für eine mögliche Steuerpflicht in Frankreich (für die Jahre 2010 bis 2015) qualifiziert. Die Beschwerdeführerin beziehungsweise ihre individuelle Banknummer befand sich unbestrittenermassen auf den UBS-Listen, und zwar in Verbindung mit dem Domizil-Code für Frankreich. Damit ist ein steuerrechtlicher Anknüpfungspunkt zu Frankreich gegeben und folglich sind auch die erfragten Informationen der Jahre 2012 bis 2015 für Frankreich erheblich. Entgegen der Ansicht der Beschwerdeführerin ist es im Rahmen des Amtshilfeverfahrens nicht Aufgabe der Schweizer Behörden zu prüfen, ob nach französischem Recht ein Steuerwohnsitz in Frankreich besteht (BGE 145 II 112 E. 2.2.2; 142 II 161 E. 2.2.2; Urteil des BGer 2C_805/2018 vom 23. August 2019 E. 4.5). Selbst ein nachgewiesener Wohnsitz ausserhalb Frankreichs würde nach der Rechtsprechung des Bundesgerichts grundsätzlich nicht ausreichen, um die voraussichtliche Erheblichkeit der zu übermittelnden Informationen zu verneinen, da der ersuchte Staat die Frage des steuerrechtlichen Wohnsitzes im Amtshilfeverfahren grundsätzlich nicht zu untersuchen hat (Urteil des BGer 2C_953/2020 vom 24. November 2021 E. 3.5 mit Hinweisen auf BGE 142 II 161 und 142 II 218).</w:t>
      </w:r>
    </w:p>
    <w:p>
      <w:r>
        <w:rPr>
          <w:b/>
        </w:rPr>
        <w:t>E. 7.3</w:t>
      </w:r>
    </w:p>
    <w:p>
      <w:r>
        <w:t>Soweit die Beschwerdeführerin vorbringt, die Steuerdaten des Steuerjahrs 2010 seien aufgrund der eingetretenen Verjährung für die französische Steuerbehörde nicht erheblich, ist darauf hinzuweisen, dass es nach bundesgerichtlicher Rechtsprechung nicht Aufgabe des ersuchten Staates ist, die Begründetheit des im Ausland durchgeführten Steuerverfahrens zu prüfen oder mögliche verfahrensrechtliche Hindernisse zu berücksichtigen, die nach dem innerstaatlichen Recht des ersuchenden Staates der Verwendung der erhaltenen Informationen entgegenstehen würden (BGE 144 II 206 E. 4.3). Folglich sind die Schweizer Behörden im Rahmen der Beurteilung der voraussichtlichen Erheblichkeit der zu übermittelnden Informationen nicht gehalten zu prüfen, ob die Daten nach französischem Recht bereits verjährt sind und somit nicht mehr für ein französisches Steuerverfahren hinzugezogen werden können. Dementsprechend ist von der vor-aussichtlichen Erheblichkeit der zur Übermittlung vorgesehenen Informationen - auch jenen betreffend das Steuerjahr 2010 - auszugehen.</w:t>
      </w:r>
    </w:p>
    <w:p>
      <w:r>
        <w:rPr>
          <w:b/>
        </w:rPr>
        <w:t>E. 7.4</w:t>
      </w:r>
    </w:p>
    <w:p>
      <w:r>
        <w:t>Zu den Ausführungen der Beschwerdeführerin, wonach die französische Steuerbehörde keine Erklärung bezüglich der Wahrung des Spezialitätsprinzips abgegeben hat, ist Folgendes festzuhalten: Das Bundesgericht hat sich eingehend mit dieser Thematik auseinandergesetzt und ist zum Schluss gekommen, dass keine konkreten Anhaltspunkte für eine Verletzung des Spezialitätsprinzips oder der Geheimhaltungspflicht durch Frankreich gegeben sind (BGE 146 II 150 E. 7 ff.). Der erneute explizite Hinweis der Vorinstanz auf das Spezialitätsprinzip in der Schlussverfügung vermag daran nichts zu ändern, zumal die Vorinstanz verpflichtet war, die französischen Behörden auf ihren Zusicherungen zu behaften (BGE 146 II 150 E. 7.7). In Bezug auf die Ausführungen der Beschwerdeführerin, wonach die französische Steuerbehörde inzwischen gesetzlich verpflichtet ist, die Steuerdaten an die Staatsanwaltschaft weiterzugeben, ist Folgendes auszuführen: Art. 28 Abs. 2 DBA CH-FR statuiert neben der Pflicht zur Geheimhaltung der amtshilfeweise übermittelten Informationen auch eine Pflicht zu deren beschränkten Verwendung (vgl. E. 5.2). Eine Verwendung für einen anderen, abkommensfremden Zweck kommt nur in Frage, wenn erstens die Verwendung der Informationen für andere Zwecke nach dem Recht beider Vertragsstaaten zulässig ist und zweitens die zuständige Behörde des ersuchten Staates dieser abkommensfremden Verwendung zustimmt (Art. 28 Abs. 2 DBA CH-FR). Da die zuständigen Behörden in der Schweiz keine abkommensfremde Verwendung genehmigt haben, sind diesbezügliche Bedenken unbegründet. Gestützt auf das Vertrauensprinzip kann es zudem als selbstverständlich vorausgesetzt werden, dass der Spezialitätsgrundsatz durch Frankreich eingehalten wird (E. 5.3). Dies umso mehr, als dass die französische Steuerbehörde entsprechende Zusicherungen abgegeben hat. Auch eine inzwischen in Kraft getretene innerstaatliche Gesetzesänderung gibt keinen Anlass, an der Einhaltung der völkerrechtlichen Verpflichtungen durch Frankreich zu zweifeln. Das völkerrechtliche Vertrauensprinzip besagt ausserdem, dass bis zum Beweis des Gegenteils davon ausgegangen wird, der Vertragspartner werde sich korrekt verhalten. Dies liegt denn auch im Interesse einer funktionierenden Zusammenarbeit. Ein Hinweis auf eine innerstaatliche Gesetzesänderung vermag somit keine drohende Verletzung des Spezialitätsprinzips zu belegen.</w:t>
      </w:r>
    </w:p>
    <w:p>
      <w:r>
        <w:rPr>
          <w:b/>
        </w:rPr>
        <w:t>E. 8</w:t>
      </w:r>
    </w:p>
    <w:p>
      <w:r>
        <w:t>Nach dem Gesagten sind die Voraussetzungen für die in der Schlussverfügung vom 23. Dezember 2020 vorgesehene Amtshilfeleistung erfüllt. Die Beschwerde ist abzuweisen.</w:t>
      </w:r>
    </w:p>
    <w:p>
      <w:r>
        <w:rPr>
          <w:b/>
        </w:rPr>
        <w:t>E. 9</w:t>
      </w:r>
    </w:p>
    <w:p>
      <w:r>
        <w:t>Bezüglich der prozessualen Anträge der Beschwerdeführerin ist darauf hinzuweisen, dass die Wahrung der Anonymität von Beschwerdeführenden sowie die Anonymisierung von Entscheiden der Praxis des Bundesverwaltungsgerichts entspricht.</w:t>
      </w:r>
    </w:p>
    <w:p>
      <w:r>
        <w:rPr>
          <w:b/>
        </w:rPr>
        <w:t>E. 10</w:t>
      </w:r>
    </w:p>
    <w:p>
      <w:r>
        <w:t>Bei diesem Ausgang des Verfahrens hat die Beschwerdeführerin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