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F-3906/2016 vom 26. Juni 2017</w:t>
      </w:r>
    </w:p>
    <w:p>
      <w:r>
        <w:t>Bundesverwaltungsgericht, 2017-06-26, IT</w:t>
      </w:r>
    </w:p>
    <w:p>
      <w:r>
        <w:rPr>
          <w:b/>
        </w:rPr>
        <w:t xml:space="preserve">Quelle: </w:t>
      </w:r>
      <w:r>
        <w:t>https://mcp.opencaselaw.ch/entscheid/bvger_F-3906_2016</w:t>
      </w:r>
    </w:p>
    <w:p>
      <w:r>
        <w:t>FR: TAF F-3906/2016 du 26 juin 2017</w:t>
      </w:r>
    </w:p>
    <w:p>
      <w:r>
        <w:t>IT: TAF F-3906/2016 del 26 giugno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statuisce quale autorità di grado inferiore al Tribunale federale (art. 1 cpv. 2 LTAF in relazione con l'art. 11 par. 1 e 3 ALC e l'art. 83 lett. c cifra 1 LTF; cfr. inoltre la sentenza del TF 2C_270/2015 del 6 agosto 2015 consid. 1).</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gravame (art. 62 cpv. 4 PA). Rilevante è in primo luogo la situazione di fatto al momento del giudizio (DTAF 2014/1 consid. 2 e giurisprudenza ivi citata).</w:t>
      </w:r>
    </w:p>
    <w:p>
      <w:r>
        <w:rPr>
          <w:b/>
        </w:rPr>
        <w:t>E. 3.1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3.2</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3.3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in: Spescha et al. [ed.], Migrationsrecht, 4a ed. 2015, ad art. 67 LStr, n. marg. 3, pag. 270).</w:t>
      </w:r>
    </w:p>
    <w:p>
      <w:r>
        <w:rPr>
          <w:b/>
        </w:rPr>
        <w:t>E. 4.1</w:t>
      </w:r>
    </w:p>
    <w:p>
      <w:r>
        <w:t>Per coloro i quali vi si possono lecitamente richiamare, e nella misura in cui contenga disposizioni derogatorie più favorevoli, determinante è inoltre l'ALC.</w:t>
      </w:r>
    </w:p>
    <w:p>
      <w:r>
        <w:rPr>
          <w:b/>
        </w:rPr>
        <w:t>E. 4.2</w:t>
      </w:r>
    </w:p>
    <w:p>
      <w:r>
        <w:t>In base all'ALC, le parti contraenti ammettono nel rispettivo territorio i cittadini dell'altra parte contraente ed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4.3</w:t>
      </w:r>
    </w:p>
    <w:p>
      <w:r>
        <w:t>Secondo la giurisprudenza, che si orienta alla direttiva 64/221/CEE del 25 febbraio 1964 del Consiglio per il coordinamento dei provvedimenti speciali riguardanti il trasferimento ed il soggiorno degli stranieri, giustificati da motivi di ordine pubblico, di pubblica sicurezza e di sanità pubblica (cfr. GU P 56 del 4 aprile 1964, pagg. 851 a 857) ed alla prassi della Corte di giustizia dell'Unione europea ad essa relativa (art. 5 cpv. 2 allegato I ALC), l'adozione di misure di allontanamento presuppone, al di là della turbativa insita in ogni violazione di legge, la sussistenza di una minaccia effettiva e sufficientemente grave per 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4.4</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originata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(cfr.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4.5</w:t>
      </w:r>
    </w:p>
    <w:p>
      <w:r>
        <w:t>Inoltre l'adozione di un provvedimento di 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134 II 25 consid. 4.3.2 e 130 II 493 consid. 3.3 e riferimenti ivi citati).</w:t>
      </w:r>
    </w:p>
    <w:p>
      <w:r>
        <w:rPr>
          <w:b/>
        </w:rPr>
        <w:t>E. 4.6</w:t>
      </w:r>
    </w:p>
    <w:p>
      <w:r>
        <w:t>Ne discende che, affinché un cittadino di uno Stato membro dell'ALC possa essere oggetto di una decisione di divieto d'entrata in Svizzera ai sensi dell'art. 67 cpv. 2 lett. a LStr, occorre che egli rappresenti una minaccia di una certa gravità per l'ordine e la sicurezza pubblici, atta a privarlo del diritto di entrare in territorio elvetico ai sensi dell'art. 5 allegato I ALC.</w:t>
      </w:r>
    </w:p>
    <w:p>
      <w:r>
        <w:rPr>
          <w:b/>
        </w:rPr>
        <w:t>E. 4.7</w:t>
      </w:r>
    </w:p>
    <w:p>
      <w:r>
        <w:t>Inoltre, come nel caso di qualsiasi altro cittadino straniero, l'esame deve essere effettuato tenendo presente le garanzie derivanti dalla CEDU così come il principio di proporzionalità (cfr. DTF 131 II 352 consid. 3.3 e numerosi rinvii).</w:t>
      </w:r>
    </w:p>
    <w:p>
      <w:r>
        <w:rPr>
          <w:b/>
        </w:rPr>
        <w:t>E. 5.1</w:t>
      </w:r>
    </w:p>
    <w:p>
      <w:r>
        <w:t>Il ricorrente è in casu di nazionalità italiana, di conseguenza nella valutazione della presente causa è necessario tenere conto delle disposizioni dell'ALC. La LStr è applicabile solo se detto accordo non contiene disposizioni derogatorie o se la legge precitata prevede disposizioni più favorevoli (art. 2 cpv. 2 LStr).</w:t>
      </w:r>
    </w:p>
    <w:p>
      <w:r>
        <w:rPr>
          <w:b/>
        </w:rPr>
        <w:t>E. 5.2</w:t>
      </w:r>
    </w:p>
    <w:p>
      <w:r>
        <w:t>L'art. 67 cpv. 3 2a frase LStr permette alla SEM di pronunciare un divieto d'entrata per una durata maggiore a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del Parlamento e del Consiglio europei del 16 dicembre 2008 recante norme e procedure comuni applicabili negli Stati membri al rimpatrio di cittadini di paesi terzi il cui soggiorno è irregolare (cfr. GU L 348/98 del 24 dicembre 2008, pagg. 98 a 107)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5.3</w:t>
      </w:r>
    </w:p>
    <w:p>
      <w:r>
        <w:t>Poiché la LStr non opera alcuna distinzione tra cittadini di Stati ALC e Stati terzi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(membri ALC o meno).</w:t>
      </w:r>
    </w:p>
    <w:p>
      <w:r>
        <w:rPr>
          <w:b/>
        </w:rPr>
        <w:t>E. 5.4</w:t>
      </w:r>
    </w:p>
    <w:p>
      <w:r>
        <w:t>A tal proposito la giurisprudenza ha stabilito che la nozione di «pericolo grave» richiede un grado di gravità maggiore rispetto al «semplice» pericolo o minaccia per l'ordine e la sicurezza pubblici (art. 67 cpv. 2 lett. a LStr), ma anche maggiore rispetto alla nozione di «pericolo di una certa gravità», necessaria per pronunciare un divieto d'entrata per un cittadino di uno Stato ALC. Operando un raffronto con la nozione di «pericolo di una certa gravità» dell'art. 5 allegato 1 ALC (per una casistica cfr. le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op. cit., ad art. 67 LStr, n. marg. 5, pag. 271; Andrea Binder Oser, in: Caroni/Gächter/Thurnherr [ed.], Bundesgesetz über die Ausländerinnen und Ausländer [AuG], 2010, ad art. 67 LStr, n. marg. 24, pag. 689). Essa può infatti fondarsi sulla natura del bene giuridico in pericolo (ad esempio: minaccia grave alla vita, all'integrità della persona, all'integrità sessuale o alla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(cfr. DTF 139 II 121 consid. 6).</w:t>
      </w:r>
    </w:p>
    <w:p>
      <w:r>
        <w:rPr>
          <w:b/>
        </w:rPr>
        <w:t>E. 6.1</w:t>
      </w:r>
    </w:p>
    <w:p>
      <w:r>
        <w:t>Nella fattispecie in disamina, la SEM ha pronunciato nei confronti di A._______ un divieto d'entrata in Svizzera e nel Liechtenstein della durata di cinque anni, valido fino al 22 maggio 2021, ritenendo che il ricorrente abbia gravemente violato e minacciato la sicurezza e l'ordine pubblici, interessando le autorità penali ticinesi in più occasioni nel corso degli anni. A partire dal 30 aprile 2007 il ricorrente è stato infatti condannato a nove riprese. Tra queste vi è in particolare la sentenza emanata dalla Corte delle assise correzionali di Lugano del 26 ottobre 2015, mediante la quale a A._______ è stata inflitta una pena detentiva di 16 mesi da espiare in quanto ritenuto colpevole di infrazione aggravata e contravvenzione alla LStup, furto d'uso, guida malgrado revoca della licenza, ripetuto furto (in parte di poca entità), ripetuta violazione di domicilio e soggiorno illegale. Occorre inoltre ricordare che anche precedentemente il ricorrente è stato oggetto di numerose altre condanne, prevalentemente per reati contro il patrimonio, in materia di sostanze stupefacenti ed inerenti alla circolazione stradale, mentre in Italia egli appare incensurato.</w:t>
      </w:r>
    </w:p>
    <w:p>
      <w:r>
        <w:rPr>
          <w:b/>
        </w:rPr>
        <w:t>E. 6.2</w:t>
      </w:r>
    </w:p>
    <w:p>
      <w:r>
        <w:t>In merito alla condanna del 26 ottobre 2015 dalle tavole processuali emerge che nel periodo compreso tra il 2013 ed il 9 febbraio 2015, in parte in correità ed in parte agendo quale intermediario, A._______ ha ripetutamente posseduto, preparato, alienato in prima persona e procurato in altro modo a terzi un quantitativo imprecisato di eroina, valutato dalle autorità penali in almeno 152,4 grammi lordi, ed almeno 20 pastiglie di Ketalgin. Il ricorrente ha inoltre sottratto un'autovettura ad una terza persona per farne uso nonostante la licenza di condurre gli fosse stata revocata, ha compiuto ripetuti furti ai danni di un grande magazzino - compiendo altresì il reato di ripetuta violazione di domicilio - ed all'interno di un autoveicolo, oltre a ciò egli ha soggiornato illegalmente in Svizzera tra il 2013 ed il 9 febbraio 2015. Questo giudizio penale è solo l'ultimo esempio della forte propensione di A._______ a delinquere, considerato che prendendo unicamente in considerazione il periodo compreso tra il 2010 ed il 2014 egli è stato oggetto di sette decreti d'accusa vertenti prevalentemente su reati contro il patrimonio, in materia di sostanze stupefacenti e di circolazione stradale.</w:t>
      </w:r>
    </w:p>
    <w:p>
      <w:r>
        <w:rPr>
          <w:b/>
        </w:rPr>
        <w:t>E. 6.3</w:t>
      </w:r>
    </w:p>
    <w:p>
      <w:r>
        <w:t>Sulla base di queste circostanze, vista la gravità e la pericolosità delle infrazioni commesse, nonché il loro ripetersi, il provvedimento avversato soddisfa le condizioni che permettono all'autorità di derogare al principio della libera circolazione sancito dall'ALC. Occorre in particolare ricordare che 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come nel caso di specie. Tali atti criminosi costituiscono in effetti un reale pericolo per la salute e la vita di numerose persone (cfr. DTF 139 II 121 consid. 5.3; sentenza del TF 2C_121/2014 del 17 luglio 2014 consid. 3.2). Le infrazioni alla LStup, in special modo il traffico di droga, costituiscono in generale una violazione molto grave della sicurezza e dell'ordine pubblici (cfr. sentenza del TF 2C_139/2013 dell'11 giugno 2013 consid. 6.2.3 e riferimenti ivi citati). Occorre altresì considerare il fatto che prima della condanna ad una pena detentiva di 16 mesi pronunciata il 26 ottobre 2015 A._______ ha commesso una serie di reati contro il patrimonio ed in materia di circolazione stradale. Se prese singolarmente, dette infrazioni non appaiono di gravità tale da giustificare una limitazione dei diritti conferiti dall'ALC, tuttavia il loro ripetersi dimostra la propensione a delinquere del ricorrente e, considerata anche l'ultima grave condanna poc'anzi citata, giustifica l'emanazione di un divieto d'entrata.</w:t>
      </w:r>
    </w:p>
    <w:p>
      <w:r>
        <w:rPr>
          <w:b/>
        </w:rPr>
        <w:t>E. 6.4</w:t>
      </w:r>
    </w:p>
    <w:p>
      <w:r>
        <w:t>Giova altresì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7.1</w:t>
      </w:r>
    </w:p>
    <w:p>
      <w:r>
        <w:t>A questo stadio è dunque necessario esaminare in concreto se la minaccia è ad oggi sempre di attualità, tenendo ben presente che, come si è precedentemente rilevato, l'adozione o il mantenimento di un provvedimento di questo tipo non deve essere subordinata alla condizione di stabilita certezza che la persona toccata da una misura di divieto d'entrata commetta nuove infrazioni penali, ma nemmeno si deve esigere la totale assenza di un rischio di recidiva per rinunciarvi.</w:t>
      </w:r>
    </w:p>
    <w:p>
      <w:r>
        <w:rPr>
          <w:b/>
        </w:rPr>
        <w:t>E. 7.2</w:t>
      </w:r>
    </w:p>
    <w:p>
      <w:r>
        <w:t>Nel caso in esame si è visto che il ricorrente ha commesso atti delittuosi in maniera ripetuta e continua a partire dagli anni Settanta (cfr. lett. A. supra). Sebbene dagli atti di causa risulti che le prime condanne riguardassero essenzialmente dei reati di lieve entità, il percorso criminale di A._______ ha conosciuto un aggravarsi delle infrazioni commesse, sfociato nella sentenza della Corte delle assise correzionali di Lugano del 26 ottobre 2015. Il Tribunale considera che quand'anche siano passati più di due anni dalla commissione dei delitti sanzionati dal citato giudizio penale, i precedenti ascrivibili all'interessato nel corso degli ultimi decenni non possono non indicare un alto rischio di recidiva, ragione per la quale la minaccia per l'ordine e la sicurezza pubblici rappresentata da A._______ è da considerarsi tuttora di attualità.</w:t>
      </w:r>
    </w:p>
    <w:p>
      <w:r>
        <w:rPr>
          <w:b/>
        </w:rPr>
        <w:t>E. 8.1</w:t>
      </w:r>
    </w:p>
    <w:p>
      <w:r>
        <w:t>Il divieto d'entrata in Svizzera e nel Liechtenstein è quindi confermato nel suo principio. Resta ora da stabilire se la durata della misura, fissata a cinque anni dall'autorità intimata, sia conforme al principio di proporzionalità e, procedendo ad un apprezzamento degli interessi privati e pubblici in gioco, valutare se sia adeguata alle circostanze del caso concreto.</w:t>
      </w:r>
    </w:p>
    <w:p>
      <w:r>
        <w:rPr>
          <w:b/>
        </w:rPr>
        <w:t>E. 8.2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(cfr. DTF 140 I 168 consid. 4.2.1; 136 I 87 consid. 3.2; 136 IV 97 consid. 5.2.2).</w:t>
      </w:r>
    </w:p>
    <w:p>
      <w:r>
        <w:rPr>
          <w:b/>
        </w:rPr>
        <w:t>E. 8.3</w:t>
      </w:r>
    </w:p>
    <w:p>
      <w:r>
        <w:t>Quo all'interesse pubblico all'allontanamento del ricorrente dal territorio elvetico, si è già detto ai considerandi precedenti.</w:t>
      </w:r>
    </w:p>
    <w:p>
      <w:r>
        <w:rPr>
          <w:b/>
        </w:rPr>
        <w:t>E. 8.4</w:t>
      </w:r>
    </w:p>
    <w:p>
      <w:r>
        <w:t>In merito agli interessi privati, il ricorrente si è richiamato alla presenza in Svizzera del padre ed alla volontà di potersi recare sulla tomba della madre, situata in Ticino. Per quanto concerne i rapporti con l'anziano genitore A._______ sembra riferirsi all'art. 8 CEDU, il quale garantisce il diritto al rispetto della vita privata e familiare.</w:t>
      </w:r>
    </w:p>
    <w:p>
      <w:r>
        <w:rPr>
          <w:b/>
        </w:rPr>
        <w:t>E. 8.5</w:t>
      </w:r>
    </w:p>
    <w:p>
      <w:r>
        <w:t>Questa disposizione non garantisce tuttavia il diritto di entrare in un determinato Stato (cfr. in questo senso segnatamente DTF 140 I 145 consid. 3.1; 139 I 330 consid. 2.1 e riferimenti ivi citati). Affinché uno straniero possa prevalersi di tale disposizione, deve intrattenere una relazione stretta, effettiva ed intatta con una persona della sua famiglia a beneficio di un diritto di presenza duraturo in Svizzera. Protetti dalla suddetta norma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8.6</w:t>
      </w:r>
    </w:p>
    <w:p>
      <w:r>
        <w:t>La protezione del diritto al rispetto della vita privata e familiare conferita dalla norma convenzionale non ha però valenza assoluta, poiché ai sensi dell'art. 8 cpv. 2 CEDU, un'ingerenza delle autorità rimane possibile quando è prevista dalla legge ed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8.7</w:t>
      </w:r>
    </w:p>
    <w:p>
      <w:r>
        <w:t>Nel caso in esame il ricorrente si è richiamato al rapporto con il padre, per il quale a causa dell'anzianità sarebbe oltremodo gravoso recarsi in visita al figlio e prendersi cura di lui. Agli atti di causa non risulta tuttavia che vi sia un particolare rapporto di dipendenza tra A._______ e l'anziano genitore, ne consegue che non sono dati i presupposti per l'applicazione della protezione conferita dall'art. 8 CEDU. Al contrario appare improbabile che l'insorgente necessiti dell'assistenza del padre, il quale comunque abita a pochi chilometri dal luogo di residenza del ricorrente. L'argomentazione sollevata da A._______ è votata all'insuccesso in quanto alla luce dei reati commessi l'interesse pubblico alla salvaguardia dell'ordine e della sicurezza pubblici risulta preponderante rispetto agli interessi privati dell'insorgente. Pertanto la decisione impugnata non viola l'art. 8 CEDU ed il ricorrente non può fondare alcun diritto sulla base di tale disposizione. La medesima conclusione deve valere altresì per il desiderio espresso di potersi recare sulla tomba della defunta madre, visto che esso non può essere protetto dal diritto al rispetto della vita privata e familiare e considerato, come rettamente osservato dalla SEM in occasione della presa di posizione dell'8 settembre 2016, che l'interessato ha la facoltà di chiedere delle sospensioni temporanee del divieto d'entrata conformemente all'art. 67 cpv. 5 LStr.</w:t>
      </w:r>
    </w:p>
    <w:p>
      <w:r>
        <w:rPr>
          <w:b/>
        </w:rPr>
        <w:t>E. 8.8</w:t>
      </w:r>
    </w:p>
    <w:p>
      <w:r>
        <w:t>Anche dal punto di vista del principio di proporzionalità il divieto d'entrata pronunciato nei confronti di A._______ appare giustificato in ragione dell'alto numero di condanne subite e del fatto che l'attività delinquenziale perpetrata ha conosciuto un aggravarsi nel corso del tempo, culminando con i fatti di cui alla condanna pronunciata il 26 ottobre 2015.</w:t>
      </w:r>
    </w:p>
    <w:p>
      <w:r>
        <w:rPr>
          <w:b/>
        </w:rPr>
        <w:t>E. 8.9</w:t>
      </w:r>
    </w:p>
    <w:p>
      <w:r>
        <w:t>Dalle considerazioni che precedono risulta come l'interesse pubblico all'allontanamento del ricorrente dalla Svizzera e dal Liechtenstein prevale su quello privato di A._______ ad entrarvi. Di conseguenza, da una corretta valutazione degli elementi in gioco, emerge che il divieto d'entrata di cinque anni è adeguato alle circostanze del caso concreto.</w:t>
      </w:r>
    </w:p>
    <w:p>
      <w:r>
        <w:rPr>
          <w:b/>
        </w:rPr>
        <w:t>E. 9</w:t>
      </w:r>
    </w:p>
    <w:p>
      <w:r>
        <w:t>Ne discende che l'autorità inferiore con la decisione del 23 maggio 2016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10</w:t>
      </w:r>
    </w:p>
    <w:p>
      <w:r>
        <w:t>Le spese giudiziarie di fr. 1'000.- seguono la soccombenza e sono poste a carico del ricorrente (art. 63 cpv. 1 e 5 PA nonché art. 3 lett. b del regolamento sulle tasse e sulle spese ripetibili nelle cause dinanzi al Tribunale amministrativo federale del 21 febbraio 2008 [TS-TAF, RS 173.320.2]).</w:t>
      </w:r>
    </w:p>
    <w:p>
      <w:r>
        <w:rPr>
          <w:b/>
        </w:rPr>
        <w:t>E. 11</w:t>
      </w:r>
    </w:p>
    <w:p>
      <w:r>
        <w:t>Visto l'esito della procedura non sono assegnate indennità per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