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F-3903/2022 vom 16. September 2022</w:t>
      </w:r>
    </w:p>
    <w:p>
      <w:r>
        <w:t>Bundesverwaltungsgericht, 2022-09-16, DE</w:t>
      </w:r>
    </w:p>
    <w:p>
      <w:r>
        <w:rPr>
          <w:b/>
        </w:rPr>
        <w:t xml:space="preserve">Quelle: </w:t>
      </w:r>
      <w:r>
        <w:t>https://mcp.opencaselaw.ch/entscheid/bvger_F-3903_2022</w:t>
      </w:r>
    </w:p>
    <w:p>
      <w:r>
        <w:t>FR: TAF F-3903/2022 du 16 septembre 2022</w:t>
      </w:r>
    </w:p>
    <w:p>
      <w:r>
        <w:t>IT: TAF F-3903/2022 del 16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Nachdem die kroatischen Behörden innert der in Art. 25 Abs. 1 Dublin-III-VO festgelegten Frist dem Wiederaufnahmegesuch der Vorinstanz zugestimmt haben, ist die Zuständigkeit Kroatiens grundsätzlich gegeben.</w:t>
      </w:r>
    </w:p>
    <w:p>
      <w:r>
        <w:rPr>
          <w:b/>
        </w:rPr>
        <w:t>E. 3.3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w:t>
      </w:r>
    </w:p>
    <w:p>
      <w:r>
        <w:t>Gemäss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dazu beispielsweise die Urteile des BVGer F-1653/2022 vom 21. April 2022 E. 6.2; D-1404/2022 vom 30. März 2022; D-735/2022 vom 28. Februar 2022 E. 6.5.2; D-735/2022 vom 22. Februar 2022 E. 6.5.2). Für eine Änderung der Rechtsprechung besteht auch in Würdigung der von den Beschwerdeführenden gemachten Äusserungen zu ihrer Behandlung in Kroatien keine Veranlassung. Folglich ist die Anwendung von Art. 3 Abs. 2 Dublin-III-VO nicht gerechtfertigt.</w:t>
      </w:r>
    </w:p>
    <w:p>
      <w:r>
        <w:rPr>
          <w:b/>
        </w:rPr>
        <w:t>E. 5</w:t>
      </w:r>
    </w:p>
    <w:p>
      <w:r>
        <w:t>Nachfolgend ist zu prüfen, ob das Selbsteintrittsrecht nach Art. 17 Abs. 1 erster Satz Dublin-III-VO auszuüben ist.</w:t>
      </w:r>
    </w:p>
    <w:p>
      <w:r>
        <w:rPr>
          <w:b/>
        </w:rPr>
        <w:t>E. 5.1</w:t>
      </w:r>
    </w:p>
    <w:p>
      <w:r>
        <w:t>Die Beschwerdeführenden führen an, den Kindern sei in Kroatien die medizinische Versorgung verwehrt worden. Der Beschwerdeführer 1 sei misshandelt worden. Die Beschwerdeführerin 2 leide an Migräne, schlechter Mundhygiene, den Folgen einer Schwangerschaftsdiabetes und ihre Knie müssten auf Knorpelschäden untersucht werden. Der Beschwerdeführer 1 und C._______ hätten Asthma. F._______ weise Anzeichen einer Traumatisierung auf, welche aufgrund seines frühkindlichen Alters dringender Behandlung bedürfe. Bei einer Überstellung nach Kroatien wäre eine adäquate medizinische Behandlung aller Familienmitglieder nicht gewährleistet. Ferner bestünden Zweifel bezüglich einer kindsgerechten Unterbringung und einer umgehenden Einschulung der Kinder. Es dränge sich deshalb auf, dass die Vorinstanz verpflichtet würde, Garantien der kroatischen Behörden einzuholen.</w:t>
      </w:r>
    </w:p>
    <w:p>
      <w:r>
        <w:rPr>
          <w:b/>
        </w:rPr>
        <w:t>E. 5.2</w:t>
      </w:r>
    </w:p>
    <w:p>
      <w:r>
        <w:t>Die Beschwerdeführenden vermögen nicht darzutun, dass die sie bei einer Rückführung nach Kroatien zu erwartenden Bedingungen derart schlecht sind, dass sie zu einer Verletzung von Art. 3 EMRK führen könnten. Bei einer allfälligen vorübergehenden Einschränkung der ihnen zustehenden Aufnahmebedingungen könnten sie sich im Übrigen nötigenfalls an die kroatischen Behörden wenden und ihre Rechte auf dem Rechtsweg einfordern (vgl. Art. 26 der Richtlinie des Europäischen Parlaments und des Rates 2013/33/EU vom 26. Juni 2013 zur Festlegung von Normen für die Aufnahme von Personen, die internationalen Schutz beantragen [Aufnahmerichtlinie]). Dies gilt auch in Bezug auf die geltend gemachte Gewalt seitens der kroatischen Behörden. Im Übrigen steht den Beschwerdeführenden die Möglichkeit offen, die vor Ort tätigen karitativen Organisationen zu kontaktieren. Bezüglich der Einschulung der Kinder gilt es festzuhalten, dass der Zugang zur Bildung für Kinder gewährleistet ist (vgl. bspw. Asylum Information Database [AIDA]: Country Report Croatia: 2021 update, S. 90 f., &lt; https://asylumineurope.org/wp-content/uploads/2022/04/AIDA-HR_2021update.pdf &gt;, abgerufen am 14.09.2022). Das Einholen entsprechender Garantien, wie von den Beschwerdeführenden suggeriert, erweist sich deshalb als nicht erforderlich.</w:t>
      </w:r>
    </w:p>
    <w:p>
      <w:r>
        <w:rPr>
          <w:b/>
        </w:rPr>
        <w:t>E. 5.3</w:t>
      </w:r>
    </w:p>
    <w:p>
      <w:r>
        <w:t>Des Weiteren liegen keine konkreten Anhaltspunkte vor, wonach die Gesundheit der Beschwerdeführenden bei einer Überstellung nach Kroatien ernsthaft gefährdet würde. Die von ihnen geltend gemachten Beschwerden (Asthma, Migräne, schlechte Mundhygiene, Folgen einer Schwangerschaftsdiabetes und Probleme mit den Knien) stellen keine gravierenden Erkrankungen dar und können in Kroatien behandelt werden. Zudem wurden der Beschwerdeführer 1 und C._______ bezüglich ihres Asthmas in der Schweiz bereits medikamentös versorgt. In Bezug auf die geltend gemachte Traumatisierung von F._______ gilt es festzuhalten, dass er gemäss den vorinstanzlichen Akten am 30. August 2022 einen Termin bei der Kinderpsychiatrie gehabt haben soll. Die Beschwerdeführenden haben jedoch keinen entsprechenden Arztbericht eingereicht, noch einen solchen in Aussicht gestellt. Somit sind keine psychischen Beschwerden von F._______ dokumentiert. Sollten die Beschwerdeführenden nach der Rückkehr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 Zudem werden die schweizerischen Behörden, die mit dem Vollzug der angefochtenen Verfügung beauftragt sind, dem aktuellen Gesundheitszustand der Beschwerdeführenden bei der Organisation der Überstellung nach Kroatien Rechnung tragen, indem sie die kroatischen Behörden im Sinne von Art. 31 und Art. 32 Dublin-III-VO vorgängig über den Gesundheitszustand und die allenfalls notwendige medizinische Behandlung der Beschwerdeführenden informieren werden.</w:t>
      </w:r>
    </w:p>
    <w:p>
      <w:r>
        <w:rPr>
          <w:b/>
        </w:rPr>
        <w:t>E. 5.4</w:t>
      </w:r>
    </w:p>
    <w:p>
      <w:r>
        <w:t>Es liegen weder völkerrechtliche Vollzugshindernisse vor, die die Schweiz zum Selbsteintritt verpflichten würden, noch Rechtsfehler bei der Ermessensbetätigung. Die Vorinstanz hat somit das Selbsteintrittsrecht von Art. 17 Dublin-III-VO sowie Art. 29a Abs. 3 AsylV 1 zu Recht nicht ausgeübt. Weder ist die Schweiz völkerrechtlich verpflichtet, auf die Asylgesuche einzutreten, noch liegen humanitäre Gründe vor, welche einen Selbsteintritt nahelegen würden.</w:t>
      </w:r>
    </w:p>
    <w:p>
      <w:r>
        <w:rPr>
          <w:b/>
        </w:rPr>
        <w:t>E. 6</w:t>
      </w:r>
    </w:p>
    <w:p>
      <w:r>
        <w:t>Die Vorinstanz ist demnach zu Recht gestützt auf Art. 31a Abs. 1 Bst. b AsylG auf die Asylgesuche der Beschwerdeführenden nicht eingetreten und hat die Wegweisung nach Kroatien angeordnet.</w:t>
      </w:r>
    </w:p>
    <w:p>
      <w:r>
        <w:rPr>
          <w:b/>
        </w:rPr>
        <w:t>E. 7</w:t>
      </w:r>
    </w:p>
    <w:p>
      <w:r>
        <w:t>Nach dem Gesagten ist die Beschwerde abzuweisen. Mit dem vorliegenden Urteil fällt der am 8. September 2022 angeordnete Vollzugsstopp dahin. Das Gesuch um Erteilung der aufschiebenden Wirkung ist gegenstandslos geworden.</w:t>
      </w:r>
    </w:p>
    <w:p>
      <w:r>
        <w:rPr>
          <w:b/>
        </w:rPr>
        <w:t>E. 8</w:t>
      </w:r>
    </w:p>
    <w:p>
      <w:r>
        <w:t>Das Gesuch um Gewährung der unentgeltlichen Rechtspflege (Art. 65 Abs. 1 und 2 VwVG) ist abzuweisen, da die Begehren - wie sich aus den vorstehenden Erwägungen ergibt - als aussichtslos zu bezeichnen sind. Die Verfahrenskosten sind den Beschwerdeführenden aufzuerlegen (Art. 63 Abs. 1 VwVG) und auf insgesamt Fr. 750.- festzusetzen (Art. 1-3 des Reglements vom 21. Februar 2008 über die Kosten und Entschädigungen vor dem Bundesverwaltungsgericht [VGKE, SR 173.320.2]).</w:t>
      </w:r>
    </w:p>
    <w:p>
      <w:r>
        <w:rPr>
          <w:b/>
        </w:rPr>
        <w:t>E. 9</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