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F-3903/2020 vom 14. Mai 2021</w:t>
      </w:r>
    </w:p>
    <w:p>
      <w:r>
        <w:t>Bundesverwaltungsgericht, 2021-05-14, DE</w:t>
      </w:r>
    </w:p>
    <w:p>
      <w:r>
        <w:rPr>
          <w:b/>
        </w:rPr>
        <w:t xml:space="preserve">Quelle: </w:t>
      </w:r>
      <w:r>
        <w:t>https://mcp.opencaselaw.ch/entscheid/bvger_F-3903_2020</w:t>
      </w:r>
    </w:p>
    <w:p>
      <w:r>
        <w:t>FR: TAF F-3903/2020 du 14 mai 2021</w:t>
      </w:r>
    </w:p>
    <w:p>
      <w:r>
        <w:t>IT: TAF F-3903/2020 del 14 maggio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begründet das Einreiseverbot damit, dass die Beschwerdeführerin illegal in die Schweiz eingereist sei und damit gegen die Einreisevoraussetzungen des Ausländerrechts verstossen habe.</w:t>
      </w:r>
    </w:p>
    <w:p>
      <w:r>
        <w:rPr>
          <w:b/>
        </w:rPr>
        <w:t>E. 4.2</w:t>
      </w:r>
    </w:p>
    <w:p>
      <w:r>
        <w:t>Die Beschwerdeführerin führt dagegen an, sie habe lediglich Kenntnis von einem nationalen Einreiseverbot in Norwegen. Es sei ihr jedoch nie gesagt worden, dass dieses Einreiseverbot für den ganzen Schengen-Raum gelte. Jedenfalls sei ihr eine solche Ausschreibung im SIS nie eröffnet worden. Ausserdem verfüge sie seit dem 6. September 2018 über eine italienische Aufenthaltsbewilligung, weshalb Norwegen die Ausschreibung im Schengen-Raum ohnehin längst hätte zurückziehen müssen. Aufgrund ihrer italienischen Aufenthaltsbewilligung sei sie durchaus berechtigt, in die Schweiz einzureisen. Das gegenständliche Einreiseverbot gründe auf dem nicht rechtskräftig festgestellten Sachverhalt des Strafverfahrens. Gegen den entsprechenden Strafbefehl der Staatsanwaltschaft D._______ habe sie Einsprache erhoben. Im Übrigen sei ein zweijähriges Einreiseverbot bei einer geringfügigen (angeblichen) Gefährdung der öffentlichen Sicherheit und Ordnung nicht verhältnismässig, zumal auch kein Risiko einer künftigen Gefährdung ersichtlich sei. Dementsprechend sei das Einreiseverbot auf maximal ein Jahr zu reduzieren.</w:t>
      </w:r>
    </w:p>
    <w:p>
      <w:r>
        <w:rPr>
          <w:b/>
        </w:rPr>
        <w:t>E. 4.3</w:t>
      </w:r>
    </w:p>
    <w:p>
      <w:r>
        <w:t>In der Vernehmlassung führt die Vorinstanz aus, ihre Abklärungen beim SIRENE-Büro in Norwegen hätten ergeben, dass die norwegischen Behörden die Beschwerdeführerin am 1. September 2018 für die Dauer von zwei Jahren im SIS ausgeschrieben hätten. Grund hierfür sei gewesen, dass die Beschwerdeführerin in Norwegen rechtswidrig einer Erwerbstätigkeit nachgegangen sei. Die entsprechende Ausschreibung sei der Beschwerdeführerin am 31. August 2018 eröffnet worden. Die norwegischen Behörden hätten dann am 13. Oktober 2018 die italienischen Behörden mittels Konsultationsverfahren über die Ausschreibung informiert. Es sei aber kein Löschungsbegehren durch Italien erfolgt. Somit habe sich die Beschwerdeführerin zum Zeitpunkt des Erlasses des Einreiseverbots illegal in der Schweiz aufgehalten. Das Einreiseverbot sei aufgrund des Verstosses gegen die ausländerrechtlichen Bestimmungen gemäss ständiger Praxis für die Dauer von zwei Jahren und aufgrund der italienischen Aufenthaltsbewilligung lediglich für die Schweiz und das Fürstentum Liechtenstein ausgesprochen worden.</w:t>
      </w:r>
    </w:p>
    <w:p>
      <w:r>
        <w:rPr>
          <w:b/>
        </w:rPr>
        <w:t>E. 4.4</w:t>
      </w:r>
    </w:p>
    <w:p>
      <w:r>
        <w:t>Die Beschwerdeführerin bringt in der Replik vor, zwischenzeitlich sei sie im Strafverfahren durch Einstellungsverfügung vom Vorwurf der Widerhandlung gegen das AIG vollumfänglich freigesprochen worden. Dies mit der Begründung, dass das von Norwegen verhängte Einreiseverbot bzw. die Ausschreibung im SIS nicht in der erforderlichen Art und Weise mitgeteilt worden sei. Da sich das Einreiseverbot auf den im Strafverfahren abgeklärten Sachverhalt stütze, sei die Aufrechterhaltung des Einreiseverbots nicht mehr gerechtfertigt.</w:t>
      </w:r>
    </w:p>
    <w:p>
      <w:r>
        <w:rPr>
          <w:b/>
        </w:rPr>
        <w:t>E. 4.5</w:t>
      </w:r>
    </w:p>
    <w:p>
      <w:r>
        <w:t>In der Duplik führt die Vorinstanz aus, die strafrechtliche Einstellungsverfügung vermöge an ihrem Entscheid nichts zu ändern. Ein Einreiseverbot könne auch unabhängig vom Strafverfahren erlassen werden. Zudem begründe die Staatsanwaltschaft D._______ die Einstellungsverfügung mit den Aussagen der Beschwerdeführerin, wonach diese keine Kenntnis von der SIS-Ausschreibung gehabt habe. Gemäss Abklärungen bei den norwegischen Behörden sei die Ausschreibung zur Einreiseverweigerung im SIS der Beschwerdeführerin jedoch eröffnet worden und habe damit Rechtskraft erlangt. Es werde noch einmal darauf hingewiesen, dass die norwegischen Behörden das Einreiseverbot erlassen hätten, weil die Beschwerdeführerin ohne Bewilligung einer Erwerbstätigkeit nachgegangen sei und trotz Konsultation der italienischen Behörden kein Antrag zur Löschung erfolgt sei. Ausserdem würden in der Duplik keine privaten Gründe für die Einreise geltend gemacht, die das öffentliche Interesse an der Fernhaltung überwiegen würden.</w:t>
      </w:r>
    </w:p>
    <w:p>
      <w:r>
        <w:rPr>
          <w:b/>
        </w:rPr>
        <w:t>E. 4.6</w:t>
      </w:r>
    </w:p>
    <w:p>
      <w:r>
        <w:t>In der Triplik führt die Beschwerdeführerin dagegen an, die Vorinstanz stütze das Einreiseverbot offensichtlich und unbestritten auf den Sachverhalt, der Gegenstand des Strafverfahrens gewesen sei und letztendlich mit Einstellungsverfügung bzw. mit einem Freispruch für sie - die Beschwerdeführerin - abgeschlossen worden sei. Die Auffassung der Vorinstanz, dass ein Einreiseverbot unabhängig von einem Strafverfahren erlassen werden könne, sei deshalb vorliegend nicht von Bedeutung. Die Vorinstanz könne nicht ohne weiteres basierend auf den Erkenntnissen des Untersuchungsverfahrens, aber im Ergebnis davon abweichend, auf das Vorliegen einer ernsthaften Gefährdung der öffentlichen Sicherheit und Ordnung schliessen, welche die Verfügung einer Fernhaltemassnahme als angezeigt erscheinen liesse. Überdies gelte es gemäss bundesgerichtlicher Rechtsprechung im Interesse von Rechtseinheit und Rechtssicherheit zu vermeiden, dass derselbe Lebensvorgang zu voneinander abweichenden Sachverhaltsfeststellungen von Verwaltungs- und Justizbehörden führe und die erhobenen Beweise abweichend gewürdigt und beurteilt würden. Ausserdem verkenne die Vorinstanz, dass gemäss der im Verwaltungsverfahren geltenden Untersuchungsmaxime die Behörde den rechtserheblichen Sachverhalt von Amtes wegen festzustellen habe, wobei die Beweislast für eine die Verfügung einer Fernhaltemassnahme rechtfertigende ernsthafte Gefährdung der öffentlichen Sicherheit und Ordnung bei der verfügenden Behörde liege. Da die Kenntnis über die Eröffnung der Ausschreibung im SIS eine negative Tatsache sei, könne ihr - der Beschwerdeführerin - im Übrigen auch keine weitergehende Beweisführung auferlegt werden. Die Vorinstanz komme ihrer Beweislast nicht nach, wenn sie lediglich die unbewiesene Behauptung der norwegischen Behörde ins Recht lege, wonach ihr die Einreisesperre tatsächlich und verständlich eröffnet worden sei.</w:t>
      </w:r>
    </w:p>
    <w:p>
      <w:r>
        <w:rPr>
          <w:b/>
        </w:rPr>
        <w:t>E. 5.1</w:t>
      </w:r>
    </w:p>
    <w:p>
      <w:r>
        <w:t>Die Beschwerdeführerin reiste Ende Juni 2020 in die Schweiz ein. Zu diesem Zeitpunkt verfügte sie über eine italienische Aufenthaltsbewilligung. Diese war ihr am 6. September 2018 erteilt worden und bis zum 21. November 2020 gültig. Zudem bestand gegenüber der Beschwerdeführerin im fraglichen Zeitpunkt ein von den norwegischen Behörden ausgesprochenes Einreiseverbot, welches im SIS ausgeschrieben worden war. Die Gültigkeit dieses Einreiseverbots war auf den Zeitraum vom 1. September 2018 bis zum 1. September 2020 beschränkt. Im Zeitpunkt der Einreise in die Schweiz lag demnach einerseits ein Einreiseverbot für den gesamten Schengen-Raum gegen die Beschwerdeführerin vor, andererseits verfügte sie über eine Aufenthaltsbewilligung eines Schengen-Staates. Es liegt in der Natur der Sache, dass sich diese beiden Anordnungen gegenseitig widersprechen. Die Frage, ob die Koexistenz des Schengener Einreiseverbots und der italienischen Aufenthaltsbewilligung überhaupt rechtmässig ist, ist jedoch nicht Gegenstand des vorliegenden Verfahrens und kann offen bleiben. Vorliegend ist einzig zu prüfen, ob die Vorinstanz zu Recht ein Einreiseverbot gegen die Beschwerdeführerin verfügt hat und wenn ja, ob dessen Dauer verhältnismässig ist.</w:t>
      </w:r>
    </w:p>
    <w:p>
      <w:r>
        <w:rPr>
          <w:b/>
        </w:rPr>
        <w:t>E. 5.2</w:t>
      </w:r>
    </w:p>
    <w:p>
      <w:r>
        <w:t>In casu stellt sich folglich die Frage, ob die Beschwerdeführerin gegen die öffentliche Sicherheit und Ordnung verstossen hat, indem sie in die Schweiz eingereist ist, obwohl sie nicht in den Schengen-Raum hätte einreisen dürfen.</w:t>
      </w:r>
    </w:p>
    <w:p>
      <w:r>
        <w:rPr>
          <w:b/>
        </w:rPr>
        <w:t>E. 5.2.1</w:t>
      </w:r>
    </w:p>
    <w:p>
      <w:r>
        <w:t>Zwar trifft es - wie von der Vorinstanz ausgeführt - zu, dass ein Einreiseverbot unabhängig vom Strafverfahren erlassen werden und grundsätzlich auch dann verhängt werden kann, wenn ein rechtskräftiges Strafurteil fehlt (vgl. dazu anstelle vieler: Urteile des BVGer F-6906/2018 vom 10. Dezember 2019 E. 4.3; F-5969/2016 vom 28. September 2017 E. 6.4; C-7068/2013 vom 19. Mai 2015 E. 5.5; je m.H.). Die Einstellung des Strafverfahrens hat somit keinen unmittelbaren Einfluss auf das verwaltungsrechtliche Verfahren. Die Grundsätze der Einheit der Rechtsordnung und der Rechtssicherheit gebieten allerdings, dass widersprüchliche Entscheide zwischen Straf- und Administrativbehörden im Rahmen des Möglichen zu vermeiden sind, soweit sie auf den gleichen Tatsachen beruhen (BGE 139 II 95 E. 3.2; 137 I 363 E. 2.3.2; Urteil des BGer 1C_98/2017 vom 2. Juni 2017 E. 2.4; Urteil des BVGer F-7521/2015 vom 20. Dezember 2016 E. 5.5). In diesem Sinne entfernt sich das Bundesverwaltungsgericht grundsätzlich nicht ohne Not von den tatbeständlichen Feststellungen (gemeint: Feststellungen des Sachverhalts) des Strafrichters. Das Gleiche gilt für die rechtliche Würdigung, soweit sie sehr stark von Tatsachen abhängt, die der Strafrichter besser kennt, was etwa dann der Fall sein kann, wenn er den Beschuldigten persönlich einvernommen hat (BGE 104 Ib 358 E. 3).</w:t>
      </w:r>
    </w:p>
    <w:p>
      <w:r>
        <w:rPr>
          <w:b/>
        </w:rPr>
        <w:t>E. 5.2.2</w:t>
      </w:r>
    </w:p>
    <w:p>
      <w:r>
        <w:t>Die Staatsanwaltschaft D._______ hat das Strafverfahren gegen die Beschwerdeführerin wegen Widerhandlung gegen das AIG mit Verfügung vom 18. September 2020 eingestellt. Sie stützte sich dabei auf Art. 319 ff. der Schweizerischen Strafprozessordnung vom 5. Oktober 2007 (StPO; SR 312.0). In der Einstellungsverfügung führte die Staatsanwaltschaft aus, es würden keine Empfangsbestätigungen vorliegen, wonach der Beschwerdeführerin das Einreiseverbot für den Schengen-Raum eröffnet worden sei. Bei dieser Sachlage und den Aussagen der Beschwerdeführerin könne ihr in subjektiver Hinsicht nicht rechtsgenügend nachgewiesen werden, dass sie Kenntnis vom Einreiseverbot für den gesamten Schengen-Raum gehabt habe. Das Verfahren wegen rechtswidriger Einreise sei folglich einzustellen.</w:t>
      </w:r>
    </w:p>
    <w:p>
      <w:r>
        <w:rPr>
          <w:b/>
        </w:rPr>
        <w:t>E. 5.2.3</w:t>
      </w:r>
    </w:p>
    <w:p>
      <w:r>
        <w:t>Für die Verletzung der öffentlichen Sicherheit und Ordnung im Sinne von Art. 67 Abs. 2 Bst. a AIG bedarf es zwar keines Vorsatzes, aber natürlich kann der Beschwerdeführerin nur dann ein Verstoss gegen die entsprechende Norm vorgeworfen werden, wenn sie Kenntnis von einer allfälligen SIS-Ausschreibung hatte. Dabei obliegt der Nachweis der gültigen Eröffnung der SIS-Ausschreibung der Vorinstanz. Dies gilt unabhängig davon, ob die Ausschreibung durch die Schweiz oder einen anderen Staat veranlasst wurde. Vorliegend hat die Vorinstanz zwar entsprechende Abklärungen bei den norwegischen Behörden vorgenommen und ist zum Schluss gelangt, die Ausschreibung zur Einreiseverweigerung im SIS sei der Beschwerdeführerin eröffnet worden (vgl. hiervor E. 4.5). Allerdings stützt sich die Vorinstanz hierbei lediglich auf die entsprechende Meldung der norwegischen Behörden, wonach die Ausschreibung der Beschwerdeführerin am 31. August 2018 eröffnet worden sei. Eine schriftliche Empfangsbestätigung der SIS-Ausschreibung liegt hingegen nicht vor. Eine solche wäre für den Nachweis der Eröffnung jedoch erforderlich, zumal die Beschwerdeführerin von Beginn an stets ausführte, sie habe nur Kenntnis von einem nationalen norwegischen Einreiseverbot, eine Ausschreibung im SIS sei ihr jedoch nicht mitgeteilt worden. Bei einer solchen Ausgangslage kann nicht einzig gestützt auf die Mitteilung einer ausländischen Behörde geschlossen werden, die Beschwerdeführerin habe den Fernhaltegrund der Verletzung der öffentlichen Sicherheit und Ordnung im Sinne von Art. 67 Abs. 2 Bst. a AIG gesetzt.</w:t>
      </w:r>
    </w:p>
    <w:p>
      <w:r>
        <w:rPr>
          <w:b/>
        </w:rPr>
        <w:t>E. 6</w:t>
      </w:r>
    </w:p>
    <w:p>
      <w:r>
        <w:t>Aus diesen Erwägungen ergibt sich, dass die angefochtene Verfügung Bundesrecht verletzt (Art. 49 VwVG). Die Beschwerde ist daher gutzuheissen und die Verfügung vom 3. Juli 2020 ist aufzuheben.</w:t>
      </w:r>
    </w:p>
    <w:p>
      <w:r>
        <w:rPr>
          <w:b/>
        </w:rPr>
        <w:t>E. 7</w:t>
      </w:r>
    </w:p>
    <w:p>
      <w:r>
        <w:t>Entsprechend dem Ausgang des Verfahrens sind keine Kosten aufzuerlegen (Art. 63 Abs. 1 und 2 VwVG). Der einbezahlte Kostenvorschuss ist daher zurückzuerstatten. Der Beschwerdeführerin ist für die ihr durch die anwaltliche Vertretung erwachsenen notwendigen Kosten zulasten der Vorinstanz eine Parteientschädigung in gerichtlich festzusetzender Höhe zuzusprechen (Art 64 Abs. 1 VwVG i.V.m. Art. 7 ff des Reglements vom 21. Februar 2008 über die Kosten und Entschädigungen vor dem Bundesverwaltungsgericht [VGKE, SR 173.320.2]). Mangels Kostennote ist die Höhe der Parteientschädigung aufgrund der Akten festzulegen. Mit Blick auf den aktenkundigen Aufwand und die Komplexität des Falles sowie in Anwendung der gesetzlichen Bemessungskriterien von Art. 8 ff. VGKE erscheint eine Parteientschädigung von Fr. 2'000.- als angemessen.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