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F-3895/2021 vom 7. September 2021</w:t>
      </w:r>
    </w:p>
    <w:p>
      <w:r>
        <w:t>Bundesverwaltungsgericht, 2021-09-07, DE</w:t>
      </w:r>
    </w:p>
    <w:p>
      <w:r>
        <w:rPr>
          <w:b/>
        </w:rPr>
        <w:t xml:space="preserve">Quelle: </w:t>
      </w:r>
      <w:r>
        <w:t>https://mcp.opencaselaw.ch/entscheid/bvger_F-3895_2021</w:t>
      </w:r>
    </w:p>
    <w:p>
      <w:r>
        <w:t>FR: TAF F-3895/2021 du 7 septembre 2021</w:t>
      </w:r>
    </w:p>
    <w:p>
      <w:r>
        <w:t>IT: TAF F-3895/2021 del 7 settembre 2021</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rügt, die Vorinstanz habe das rechtliche Gehör verletzt, da sie das eingereichte Bestätigungsschreiben vom 13. Februar 2021 betreffend seine traditionelle Heirat in Nigeria mit einer Schweizer Bürgerin nicht berücksichtigt habe.</w:t>
      </w:r>
    </w:p>
    <w:p>
      <w:r>
        <w:rPr>
          <w:b/>
        </w:rPr>
        <w:t>E. 3.2</w:t>
      </w:r>
    </w:p>
    <w:p>
      <w:r>
        <w:t>Der Anspruch auf rechtliches Gehör nach Art. 29 Abs. 2 BV umfasst alle Befugnisse, die einer Partei einzuräumen sind, damit sie in einem Verfahren ihren Standpunkt wirksam zur Geltung bringen kann (BGE 144 II 427 E. 3.1). Dem Gehörsanspruch entspricht die Pflicht der Behörden, die Vorbringen tatsächlich zu hören, ernsthaft zu prüfen und in ihrer Entscheidfindung angemessen zu berücksichtigen. Nicht erforderlich ist, dass sich die Vorinstanz in ihrer Begründung mit allen Parteistandpunkten einlässlich auseinandersetzt und jedes einzelne Vorbringen ausdrücklich widerlegt (Urteil des BGer 1C_272/2020 vom 22. Januar 2021 E. 3.2).</w:t>
      </w:r>
    </w:p>
    <w:p>
      <w:r>
        <w:rPr>
          <w:b/>
        </w:rPr>
        <w:t>E. 3.3</w:t>
      </w:r>
    </w:p>
    <w:p>
      <w:r>
        <w:t>Entgegen der Ansicht des Beschwerdeführers hat die Vorinstanz das Bestätigungsschreiben betreffend traditionelle Heirat gewürdigt und ausführlich begründet, weshalb keine Verletzung von Art. 8 EMRK vorliegt. Es besteht demnach keine Veranlassung, die angefochtene Verfügung aufzuheben und die Sache an die Vorinstanz zurückzuweisen. Das entsprechende Rechtsbegehren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deutschen Behörden stimmten dem Übernahmeersuchen der Vor-instanz innert der in Art. 25 Abs. 1 Dublin-III-VO festgelegten Frist zu. Die Zuständigkeit Deutschlands ist somit grundsätzlich gegeben.</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5.1</w:t>
      </w:r>
    </w:p>
    <w:p>
      <w:r>
        <w:t>Der Beschwerdeführer bringt vor, er habe sich vom 15. Dezember 2020 bis zum 25. Juni 2021 in Nigeria und damit ausserhalb des Hoheitsgebietes der Dubliner Mitgliedstaaten aufgehalten. Dies sei durch die Bestätigung der traditionellen Heirat vom 13. Februar 2021 belegt. Die Zuständigkeit Deutschlands sei somit erloschen. Sein Asylgesuch vom 30. Juni 2021 gelte als neuer Antrag, der von der Schweiz zu behandeln sei.</w:t>
      </w:r>
    </w:p>
    <w:p>
      <w:r>
        <w:rPr>
          <w:b/>
        </w:rPr>
        <w:t>E. 5.2</w:t>
      </w:r>
    </w:p>
    <w:p>
      <w:r>
        <w:t>Die Pflicht eines Mitgliedstaates zur Wiederaufnahme eines Antragstellers nach Art. 18 Abs. 1 Bst. d Dublin-III-VO erlischt, wenn der zuständige Mitgliedstaat nachweisen kann, dass der Antragsteller das Hoheitsgebiet der Mitgliedstaaten für mindestens drei Monate verlassen hat (Art. 19 Abs. 2 Dublin-III-VO).</w:t>
      </w:r>
    </w:p>
    <w:p>
      <w:r>
        <w:rPr>
          <w:b/>
        </w:rPr>
        <w:t>E. 5.3</w:t>
      </w:r>
    </w:p>
    <w:p>
      <w:r>
        <w:t>Als Beleg für den sechsmonatigen Aufenthalt in Nigeria führt der Beschwerdeführer einzig eine Bestätigung der Bezahlung des Brautpreises für die traditionelle Heirat vom 13. Februar 2021 an. Ansonsten reichte er kein Dokument ein, wie beispielsweise ein Flugticket, das seine angebliche Rückreise nach Nigeria, seinen dortigen Aufenthalt und die Wiedereinreise nach Europa belegen könnte. Das Bestätigungsschreiben wurde vom Vater seiner Freundin verfasst. Aus dem Inhalt geht nicht klar hervor, dass der Beschwerdeführer sich tatsächlich in Nigeria aufgehalten hat. Die Bezahlung des Brautpreises wäre auch ohne seine physische Anwesenheit in Nigeria möglich gewesen. Zudem ist nicht auszuschliessen, dass es sich lediglich um ein Gefälligkeitsschreiben handelt. Insgesamt konnte der Beschwerdeführer seinen sechsmonatigen Aufenthalt in Nigeria nicht glaubhaft darlegen. Deutschland ist offenbar zum gleichen Ergebnis gekommen, da es trotz Hinweises auf eine mögliche Rückkehr des Beschwerdeführers in sein Herkunftsland seiner Wiederaufnahme zugestimmt hat. Demnach liegt keine Übertragung der Zuständigkeit auf die Schweiz nach Art. 19 Abs. 2 Dublin-III-VO vor.</w:t>
      </w:r>
    </w:p>
    <w:p>
      <w:r>
        <w:rPr>
          <w:b/>
        </w:rPr>
        <w:t>E. 6.1</w:t>
      </w:r>
    </w:p>
    <w:p>
      <w:r>
        <w:t>Der Beschwerdeführer macht geltend, er führe mit seiner Freundin seit dem Jahr 2017 eine stabile und dauerhafte Partnerschaft. Sie hätten in Nigeria traditionell geheiratet und in B._______ ein Ehevorbereitungsverfahren eingeleitet. Es bestehe somit kein Zweifel, dass seine Freundin eine Familienangehörige im Sinne von Art. 2 Bst. g Dublin-III-VO sei. Seine Freundin sei Schweizer Staatsbürgerin und verfüge somit über ein gefestigtes Aufenthaltsrecht in der Schweiz. Seine Wegweisung nach Deutschland würde daher eine Verletzung des Rechts auf Familienleben nach Art. 8 EMRK darstellen.</w:t>
      </w:r>
    </w:p>
    <w:p>
      <w:r>
        <w:rPr>
          <w:b/>
        </w:rPr>
        <w:t>E. 6.2</w:t>
      </w:r>
    </w:p>
    <w:p>
      <w:r>
        <w:t>Vorab ist darauf hinzuweisen, dass sich der Beschwerdeführer im Wiederaufnahmeverfahren befindet. In diesem Verfahren findet - vorbehältlich der in Art. 7 Abs. 3 Dublin-III-VO genannten Ausnahmen - keine neue Zuständigkeitsprüfung nach Kapitel III Dublin-III-VO statt (vgl. E. 4.2). Der Beschwerdeführer kann sich demnach nicht auf einen Übergang der Zuständigkeit auf die Schweiz nach Art. 9 i.V.m. Art. 2 Bst. g Dublin-III-VO berufen.</w:t>
      </w:r>
    </w:p>
    <w:p>
      <w:r>
        <w:rPr>
          <w:b/>
        </w:rPr>
        <w:t>E. 6.3</w:t>
      </w:r>
    </w:p>
    <w:p>
      <w:r>
        <w:t>Der Beschwerdeführer ist mit seiner Freundin, sofern dies überhaupt zutrifft, nur eine traditionelle Ehe eingegangen. Im Verfahren betreffend Erteilung einer Kurzaufenthaltsbewilligung zwecks Eheschliessung teilte das Migrationsamt des Kantons B._______ dem Beschwerdeführer am 29. Juli 2021 mit, die eingereichten Unterlagen genügten nicht, um einen Anspruch auf Erteilung einer Bewilligung zwecks Vorbereitung der Heirat zu begründen. Zudem haben sie nie zusammengelebt. Die Freundin hat ihn lediglich einige Male in Deutschland besucht. Folglich kann nicht von einer dauerhaften, gelebten Beziehung ausgegangen werden (zur gelebten Beziehung nach Art. 8 EMRK vgl. Urteil des BVGer D-4076/2011 vom 25. Juli 2011). Eine Berufung auf Art. 8 Ziff. 1 EMRK ist somit von vornherein ausgeschlossen, weshalb die Schweiz nicht zum Selbsteintritt nach Art. 17 Abs. 1 Dublin-III-VO verpflichtet ist; auch humanitäre Gründe im Sinne von Art. 29a Abs. 3 AsylV 1 liegen nicht vor.</w:t>
      </w:r>
    </w:p>
    <w:p>
      <w:r>
        <w:rPr>
          <w:b/>
        </w:rPr>
        <w:t>E. 7</w:t>
      </w:r>
    </w:p>
    <w:p>
      <w:r>
        <w:t>Nach dem Gesagten ist die Beschwerde abzuweisen. Mit dem vorliegenden Urteil fällt der am 2. September 2021 angeordnete Vollzugsstopp dahin. Das Gesuch um Erteilung der aufschiebenden Wirkung ist gegenstandslos geworden.</w:t>
      </w:r>
    </w:p>
    <w:p>
      <w:r>
        <w:rPr>
          <w:b/>
        </w:rPr>
        <w:t>E. 8.1</w:t>
      </w:r>
    </w:p>
    <w:p>
      <w:r>
        <w:t>Die Begehren erweisen sich als aussichtslos, weshalb das Gesuch um Gewährung der unentgeltlichen Prozessführung ungeachtet einer allfälligen prozessualen Bedürftigkeit abzuweisen ist (Art. 65 Abs. 1 VwVG).</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