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F-388/2026 vom 21. Januar 2026</w:t>
      </w:r>
    </w:p>
    <w:p>
      <w:r>
        <w:t>Bundesverwaltungsgericht, 2026-01-21, DE</w:t>
      </w:r>
    </w:p>
    <w:p>
      <w:r>
        <w:rPr>
          <w:b/>
        </w:rPr>
        <w:t xml:space="preserve">Quelle: </w:t>
      </w:r>
      <w:r>
        <w:t>https://mcp.opencaselaw.ch/entscheid/bvger_F-388_2026</w:t>
      </w:r>
    </w:p>
    <w:p>
      <w:r>
        <w:t>FR: TAF F-388/2026 du 21 janvier 2026</w:t>
      </w:r>
    </w:p>
    <w:p>
      <w:r>
        <w:t>IT: TAF F-388/2026 del 21 gennaio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über die Beschwerde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20 Abs. 5 Dublin-III-VO grundsätzlich Kroatien für die Weiterführung des Verfahrens und gegebenenfalls für die Behandlung des Asylverfahrens des Beschwerdeführers zuständig ist, dass das kroatische Asylsystem rechtsprechungsgemäss keine systemischen Mängel aufweist, aufgrund derer die Zuständigkeit gemäss Art. 3 Abs. 2 Dublin-III-VO auf die Schweiz überginge (vgl. Referenzurteil E-1488/2020 vom 22. März 2023 E. 9.5), und dass vorliegend keine völkerrechtlichen Vollzugshindernisse ersichtlich sind, welche die Schweiz zu einem Selbsteintritt nach Art. 17 Abs. 1 Dublin-III-VO verpflichten würden. Dabei hat sie namentlich die Vorbringen des Beschwerdeführers im Hinblick auf die gewaltsame Rückschiebung nach Bosnien und Herzegowina (Push-Back), die schlechte Behandlung seitens der kroatischen Behörden (Ausziehen sämtlicher Kleidung, Abnahme seines gesamten Geldes, ins Wasser werfen und Abnahme der Fingerabdrücke unter Zwang) sowie seine gesundheitlichen Beeinträchtigungen (gemäss Arztbericht vom 28. November 2025 anfallsartiges [paroxysmal auftretendes] Herzrasen, Nephrolithiasis und Skabies; gemäss eigenen Aussagen Schlafprobleme, Angst und Albträume)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Kroatien angeordnet. Zur näheren Begründung wird auf die Erwägungen der Vorinstanz verwiesen.</w:t>
      </w:r>
    </w:p>
    <w:p>
      <w:r>
        <w:rPr>
          <w:b/>
        </w:rPr>
        <w:t>E. 2.2</w:t>
      </w:r>
    </w:p>
    <w:p>
      <w:r>
        <w:t>Was der Beschwerdeführer auf Rechtsmittelebene vorbringt, vermag an der Richtigkeit der angefochtenen Verfügung nichts zu ändern.</w:t>
      </w:r>
    </w:p>
    <w:p>
      <w:r>
        <w:rPr>
          <w:b/>
        </w:rPr>
        <w:t>E. 2.2.1</w:t>
      </w:r>
    </w:p>
    <w:p>
      <w:r>
        <w:t>Die von ihm in seiner Beschwerde zitierten Berichte betreffend die Situation von Asylsuchenden in Kroatien vermögen nichts daran zu ändern, dass das kroatische Asylsystem rechtsprechungsgemäss keine systemischen Schwachstellen aufweist.</w:t>
      </w:r>
    </w:p>
    <w:p>
      <w:r>
        <w:rPr>
          <w:b/>
        </w:rPr>
        <w:t>E. 2.2.2</w:t>
      </w:r>
    </w:p>
    <w:p>
      <w:r>
        <w:t>Eine zwangsweise Rückweisung von Personen mit gesundheitlichen Problemen kann nur ganz ausnahmsweise einen Verstoss gegen Art. 3 EMRK darstellen (vgl. dazu Urteil des EGMR Paposhvili gegen Belgien vom 13. Dezember 2016, Grosse Kammer, Nr. 41738/10, §§ 180-193, bestätigt durch Urteil des EGMR Savran gegen Dänemark vom 7. Dezember 2021, Grosse Kammer, Nr. 57467/15, §§ 121 ff.). Die gesundheitlichen Beeinträchtigungen des Beschwerdeführers (s. E. 2.1 hiervor) sind im vorliegenden Fall nicht derart gravierend, dass gestützt auf Art. 3 EMRK von einer Überstellung nach Kroatien abgesehen werden müsste. Eine allfällig notwendige weiterführende medizinische und/oder psychologische Behandlung könnte auch in Kroatien durchgeführt werden.</w:t>
      </w:r>
    </w:p>
    <w:p>
      <w:r>
        <w:rPr>
          <w:b/>
        </w:rPr>
        <w:t>E. 2.2.3</w:t>
      </w:r>
    </w:p>
    <w:p>
      <w:r>
        <w:t>In Bezug auf die geltend gemachten völkerrechtswidrigen Push-Backs und insbesondere die gewaltsame Rückschiebung des Beschwerdeführers nach Bosnien und Herzegowina bringt der Beschwerdeführer nichts Neues vor. Es ist vollumfänglich auf die zutreffenden Ausführungen der Vorinstanz zu verweisen (vgl. angefochtene Verfügung, S. 4). Das Bundesverwaltungsgericht anerkennt zwar, dass das Verhalten der kroatischen Grenzbehörden sowie die Behandlung von Asylsuchenden im Rahmen der Erstaufnahme problematisch sein können. Es ist jedoch zu berücksichtigen, dass sich der Beschwerdeführer zum damaligen Zeitpunkt illegal in Kroatien aufhielt. Die behauptete schlechte Behandlung wird sodann weder substantiiert dargelegt noch belegt. Daran vermögen auch die auf Beschwerdeebene eingereichten Fotografien (blutende Wunde am Kopf sowie Wunde am Bein) nichts zu ändern, da diese weder eindeutig dem Beschwerdeführer zugeordnet noch zeitlich eingeordnet werden können. In objektiver Hinsicht fehlt es damit an der erforderlichen hohen Wahrscheinlichkeit, dass er im Falle einer Rückkehr im Rahmen des Dublin-Verfahrens schlecht behandelt wird. Er vermag nicht darzutun, dass er in Kroatien nach einer legalen Rücküberstellung aus einem Dublin-Mitgliedstaat kein faires Asylverfahren erhalten würde.</w:t>
      </w:r>
    </w:p>
    <w:p>
      <w:r>
        <w:rPr>
          <w:b/>
        </w:rPr>
        <w:t>E. 2.2.4</w:t>
      </w:r>
    </w:p>
    <w:p>
      <w:r>
        <w:t>Im Weiteren darf - entgegen der Vorbringen des Beschwerdeführers - davon ausgegangen werden, dass Kroatien seine Verpflichtungen aus dem Internationalen Übereinkommen vom 21. Dezember 1965 zur Beseitigung jeder Form von Rassendiskriminierung (SR 0.104) einhält (vgl. Urteile des BVGer F-10079/2025 vom 8. Januar 2026 E. 2.3; F-663/2023 vom 17. Januar 2024 E. 4.5). Schliesslich sind die Ausführungen des Beschwerdeführers in seiner Beschwerde zu Diskriminierungen in Kroatien zu vage gehalten, als dass weiter darauf eingegangen werden könnte. Sollte der Beschwerdeführer nach seiner Rückkehr von Behördenvertretern rechtswidrig behandelt werden, hat er sich an das kroatische Justizwesen oder die dortigen Aufsichtsbehörden zu wenden.</w:t>
      </w:r>
    </w:p>
    <w:p>
      <w:r>
        <w:rPr>
          <w:b/>
        </w:rPr>
        <w:t>E. 2.2.5</w:t>
      </w:r>
    </w:p>
    <w:p>
      <w:r>
        <w:t>Die formelle Rüge des Beschwerdeführers - wonach die Vorinstanz den Untersuchungsgrundsatz verletzt habe - erweist sich nach dem Gesagten als unbegründet. Die Vorinstanz hat den rechtserheblichen Sachverhalt hinreichend abgeklärt. Sie hat sich unter Bezugnahme auf die Schilderungen des Beschwerdeführers und den vorliegenden Unterlagen mit seiner individuellen Situation, dem Asylverfahren und den Aufnahmebedingungen in Kroatien, der von ihm angeführten schlechten Behandlung während seinem versuchten sowie nach seinem erfolgten Grenzübertritt in Kroatien, den ihm offenstehenden Möglichkeiten, sich dort gegen ungerechte oder rechtswidrige Behandlung zu wehren und ein Asylgesuch einzureichen, der allgemeinen Situation inklusive der Push-Back-Problematik - unter Hinweis auf mehrere Abklärungen der Schweizer Vertretung in Kroatien - und der Möglichkeit, sich bei allfälligen gesundheitlichen Problemen in Kroatien behandeln zu lassen, auseinandergesetzt. Die Vorinstanz hat sich in ihrer Verfügung insbesondere auch mit dem Gesundheitszustand des Beschwerdeführers rechtsgenüglich auseinandergesetzt und dazu den medizinischen Sachverhalt gestützt auf seine Angaben im Dublin-Gespräch, den Arztbericht vom 28. November 2025 sowie das Verlaufsblatt des Medic-Help zusammengefasst. Weitere medizinische Abklärungen hielt die Vorinstanz hingegen zu Recht nicht für erforderlich. Es ist somit nicht ersichtlich, in welcher Hinsicht im vorliegenden Verfahren konkretere weitere Abklärungen hätten vorgenommen werden müssen. Es ist somit keine Verletzung des Untersuchungsgrundsatzes festzustellen. Das entsprechende Eventualbegehren ist abzuweisen.</w:t>
      </w:r>
    </w:p>
    <w:p>
      <w:r>
        <w:rPr>
          <w:b/>
        </w:rPr>
        <w:t>E. 3</w:t>
      </w:r>
    </w:p>
    <w:p>
      <w:r>
        <w:t>Es besteht kein Anlass, die Vorinstanz anzuweisen, explizit Zusicherungen hinsichtlich angebrachter Unterbringung und medizinischer Versorgung bei den kroatischen Behörden einzuholen (vgl. Referenzurteil E-1488/2020 E. 12). Das entsprechende Subeventualbegehren ist ebenfalls abzuweisen.</w:t>
      </w:r>
    </w:p>
    <w:p>
      <w:r>
        <w:rPr>
          <w:b/>
        </w:rPr>
        <w:t>E. 4</w:t>
      </w:r>
    </w:p>
    <w:p>
      <w:r>
        <w:t>Nach dem Gesagten ist die angefochtene Verfügung vom 6. Januar 2026 nicht zu beanstanden und die Beschwerde ist abzuweisen.</w:t>
      </w:r>
    </w:p>
    <w:p>
      <w:r>
        <w:rPr>
          <w:b/>
        </w:rPr>
        <w:t>E. 5</w:t>
      </w:r>
    </w:p>
    <w:p>
      <w:r>
        <w:t>Mit vorliegendem Urteil fällt der am 19. Januar 2026 angeordnete Vollzugsstopp dahin und der Antrag auf Erteilung der aufschiebenden Wirkung wird gegenstandslos.</w:t>
      </w:r>
    </w:p>
    <w:p>
      <w:r>
        <w:rPr>
          <w:b/>
        </w:rPr>
        <w:t>E. 6</w:t>
      </w:r>
    </w:p>
    <w:p>
      <w:r>
        <w:t>Die Begehren erweisen sich als aussichtslos, weshalb das Gesuch um unentgeltliche Prozessführung (Art. 65 Abs. 1 VwVG) abzuweisen ist.</w:t>
      </w:r>
    </w:p>
    <w:p>
      <w:r>
        <w:rPr>
          <w:b/>
        </w:rPr>
        <w:t>E. 7</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