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F-388/2024 vom 25. Januar 2024</w:t>
      </w:r>
    </w:p>
    <w:p>
      <w:r>
        <w:t>Bundesverwaltungsgericht, 2024-01-25, DE</w:t>
      </w:r>
    </w:p>
    <w:p>
      <w:r>
        <w:rPr>
          <w:b/>
        </w:rPr>
        <w:t xml:space="preserve">Quelle: </w:t>
      </w:r>
      <w:r>
        <w:t>https://mcp.opencaselaw.ch/entscheid/bvger_F-388_2024</w:t>
      </w:r>
    </w:p>
    <w:p>
      <w:r>
        <w:t>FR: TAF F-388/2024 du 25 janvier 2024</w:t>
      </w:r>
    </w:p>
    <w:p>
      <w:r>
        <w:t>IT: TAF F-388/2024 del 25 gennaio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Der Beschwerdeführer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Beschwerde erweist sich - wie im Folgenden zu zeigen ist - als offensichtlich unbegründet, weshalb sie im Verfahren einzelrichterlicher Zuständigkeit mit Zustimmung eines zweiten Richters bzw. einer zweiten Richterin (Art. 111 Bst. e AsylG), ohne Durchführung eines Schriftenwechsels und mit summarischer Begründung zu behandeln ist (Art. 111a Abs. 1 und 2 AsylG).</w:t>
      </w:r>
    </w:p>
    <w:p>
      <w:r>
        <w:rPr>
          <w:b/>
        </w:rPr>
        <w:t>E. 3.1</w:t>
      </w:r>
    </w:p>
    <w:p>
      <w:r>
        <w:t>Der Beschwerdeführer rügt eine Verletzung rechtlichen Gehörs. Indem die Vorinstanz in ihrer Verfügung ihre Quellen nicht offengelegt habe bzw. lediglich generell auf Aussagen des kroatischen Roten Kreuzes und des Independent Monitoring Mechanism (IMM) sowie die Abklärungen der Schweizerischen Botschaft verwiesen habe, habe sie seinen Gehörsanspruch im Sinne von Art. 29 VwVG, Art. 29 BV sowie Art. 6 EMRK verletzt.</w:t>
      </w:r>
    </w:p>
    <w:p>
      <w:r>
        <w:rPr>
          <w:b/>
        </w:rPr>
        <w:t>E. 3.2</w:t>
      </w:r>
    </w:p>
    <w:p>
      <w:r>
        <w:t>Gemäss Art. 29 Abs. 2 BV sowie Art. 29 VwVG haben die Parteien Anspruch auf rechtliches Gehör, welches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(vgl. BGE 143 III 65 E. 5.2). In einer engen Verbindung zur Prüfungs- und Berücksichtigungspflicht steht die Pflicht der Behörden, ihren Entscheid zu begründen (Art. 35 Abs. 1 VwVG). Die Begründung muss so abgefasst sein, dass sie eine sachgerechte Anfechtung ermöglicht. Die Behörde hat daher kurz die wesentlichen Überlegungen zu nennen, von denen sie sich leiten liess und auf die sich ihr Entscheid abstützt (vgl. BGE 137 II 266 E. 3.2; 136 I 184 E. 2.2.1). Nicht erforderlich ist, dass sich die Begründung mit allen Parteistandpunkten einlässlich auseinandersetzt und jedes einzelne Vorbringen ausdrücklich widerlegt (vgl. BGE 143 III 65 E. 5.2).</w:t>
      </w:r>
    </w:p>
    <w:p>
      <w:r>
        <w:rPr>
          <w:b/>
        </w:rPr>
        <w:t>E. 3.3</w:t>
      </w:r>
    </w:p>
    <w:p>
      <w:r>
        <w:t>Die Vorinstanz hat in der angefochtenen Verfügung die Ergebnisse der Abklärungen der Schweizerischen Botschaft in Kroatien in zusammengefasster Form wiedergegeben und gewürdigt. Sie hat nachvollziehbar aufgezeigt, von welchen Überlegungen sie sich hat leiten lassen. Damit ist sie ihrer Begründungspflicht in ausreichender Weise nachgekommen; zusätzlicher Informationen oder Quellenangaben bedurfte es nicht (vgl. Urteil des BVGer F-531/2021 vom 4. Januar 2024 E. 3.2.2; D-735/2022 vom 28. Februar 2022 E. 5.3.1). Wie die vorliegende Beschwerde zeigt, war eine sachgerechte Anfechtung denn auch möglich.</w:t>
      </w:r>
    </w:p>
    <w:p>
      <w:r>
        <w:rPr>
          <w:b/>
        </w:rPr>
        <w:t>E. 3.4</w:t>
      </w:r>
    </w:p>
    <w:p>
      <w:r>
        <w:t>Soweit der Beschwerdeführer weiter geltend macht, die Vorinstanz habe seinen Anspruch auf rechtliches Gehör verletzt, indem sie behauptet habe, es lägen keine konkreten Hinweise für die systemischen Schwachstellen in Kroatien vor, und ihn auf den kroatischen Rechtsweg verwiesen habe, der seiner Ansicht nach nicht funktioniere, ist festzuhalten, dass er damit die materielle Würdigung der Vorinstanz bestandet (vgl. dazu E. 6).</w:t>
      </w:r>
    </w:p>
    <w:p>
      <w:r>
        <w:rPr>
          <w:b/>
        </w:rPr>
        <w:t>E. 3.5</w:t>
      </w:r>
    </w:p>
    <w:p>
      <w:r>
        <w:t>Eine Verletzung des Anspruchs auf rechtliches Gehör liegt nicht vor, weshalb keine Veranlassung besteht, die Sache zur Neubeurteilung an die Vorinstanz zurückzuweisen.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4.3</w:t>
      </w:r>
    </w:p>
    <w:p>
      <w:r>
        <w:t>Der nach der Dublin-III-VO zuständige Mitgliedstaat ist verpflichtet,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w:t>
      </w:r>
    </w:p>
    <w:p>
      <w:r>
        <w:rPr>
          <w:b/>
        </w:rPr>
        <w:t>E. 4.4</w:t>
      </w:r>
    </w:p>
    <w:p>
      <w:r>
        <w:t>Im Rahmen eines Wiederaufnahmeverfahrens (engl.: take back), wie es hier vorliegt, findet grundsätzlich keine (erneute) Zuständigkeitsprüfung nach Kapitel III statt. Demgegenüber sind im Fall eines sogenannten Aufnahmeverfahrens (engl.: take charge)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w:t>
      </w:r>
    </w:p>
    <w:p>
      <w:r>
        <w:rPr>
          <w:b/>
        </w:rPr>
        <w:t>E. 4.5</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w:t>
      </w:r>
    </w:p>
    <w:p>
      <w:r>
        <w:rPr>
          <w:b/>
        </w:rPr>
        <w:t>E. 4.7</w:t>
      </w:r>
    </w:p>
    <w:p>
      <w:r>
        <w:t>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5.1</w:t>
      </w:r>
    </w:p>
    <w:p>
      <w:r>
        <w:t>Ein Abgleich der Fingerabdrücke des Beschwerdeführers mit der Eurodac-Datenbank ergab, dass dieser vor seiner Einreise in die Schweiz am 21. November 2023 in Kroatien um Asyl nachgesucht hatte, weshalb die Vorinstanz zu Recht gestützt auf Art. 18 Abs. 1 Bst. b Dublin-III-VO die kroatischen Behörden um Wiederaufnahme des Beschwerdeführers ersuchte. Diese haben dem Wiederaufnahmegesuch der Vorinstanz fristgerecht gestützt auf Art. 20 Abs. 5 Dublin-III-VO ausdrücklich zugestimmt. Aus den Vorbringen des Beschwerdeführers geht ausserdem hervor, dass er illegal nach Kroatien eingereist war.</w:t>
      </w:r>
    </w:p>
    <w:p>
      <w:r>
        <w:rPr>
          <w:b/>
        </w:rPr>
        <w:t>E. 5.2</w:t>
      </w:r>
    </w:p>
    <w:p>
      <w:r>
        <w:t>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 mit der Folge, dass das Verfahren nach einer Rücküberstellung des Beschwerdeführers fortgesetzt wird. Entsprechend liegen entgegen der Ansicht des Beschwerdeführers keine Anhaltspunkte dafür vor, dass die kroatischen Behörden sein Gesuch nicht im Sinne von Art. 18 Abs. 2 Dublin-III-VO weiterbehandeln würden (vgl. Urteil des BVGer F-5409/2023 vom 11. Oktober 2023 E. 4.4)</w:t>
      </w:r>
    </w:p>
    <w:p>
      <w:r>
        <w:rPr>
          <w:b/>
        </w:rPr>
        <w:t>E. 5.3</w:t>
      </w:r>
    </w:p>
    <w:p>
      <w:r>
        <w:t>Dem Einwand des Beschwerdeführers, er sei in Kroatien zur Abgabe seiner Fingerabdrücke gezwungen worden, ist entgegenzuhalten, dass die Fingerabdruckabnahme bei illegal einreisenden ausländischen Personen und Asylsuchenden auf Art. 14 Abs. 1 der Verordnung (EU) Nr. 603/2013 des Europäischen Parlaments und des Rates vom 26. Juni 2013 (Eurodac-Verordnung) beruht. Ferner ist den unbelegten Vorbringen des Beschwerdeführers, es sei kein Dolmetscher vor Ort gewesen und die kroatischen Behörden seien ihrer Informationspflicht gemäss Art. 4 Dublin-III-VO nicht nachgekommen, entgegenzuhalten, dass die entsprechenden Informationen auch anlässlich des persönlichen Gesprächs gemäss Art. 5 Dublin-III-VO vermittelt werden können (Art. 4 Abs. 2 Dublin-III-VO; vgl. zum Ganzen Urteil des BVGer F-5409/2023 vom 11. Oktober 2023 E. 4.4).</w:t>
      </w:r>
    </w:p>
    <w:p>
      <w:r>
        <w:rPr>
          <w:b/>
        </w:rPr>
        <w:t>E. 5.4</w:t>
      </w:r>
    </w:p>
    <w:p>
      <w:r>
        <w:t>Die grundsätzliche Zuständigkeit Kroatiens für die Durchführung des Asyl- und Wegweisungsverfahrens ist somit gegeben.</w:t>
      </w:r>
    </w:p>
    <w:p>
      <w:r>
        <w:rPr>
          <w:b/>
        </w:rPr>
        <w:t>E. 6.1</w:t>
      </w:r>
    </w:p>
    <w:p>
      <w:r>
        <w:t>In der Beschwerdeschrift wird auf inadäquate Unterbringung in den kroatischen Ankunftszentren, Gewalt seitens der Behörden sowie systemische Mängel des kroatischen Asyl- und Aufnahmesystems hingewiesen. Gestützt darauf fordert der Beschwerdeführer die Anwendung des Selbsteintrittsrechts nach Art. 17 Abs. 1 erster Satz Dublin-III-VO, konkretisiert in Art. 29a Abs. 3 AsylV 1.</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Kroatien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6.3</w:t>
      </w:r>
    </w:p>
    <w:p>
      <w:r>
        <w:t>Im Referenzurteil E-1488/2020 vom 22. März 2023 hat das Bundes-verwaltungsgericht die seit dem Referenzurteil D-1611/2016 vom 22. März 2016 bestehende Praxis der grundsätzlichen Zulässigkeit von Dublin-Überstellungen nach Kroatien bestätigt. Das Gericht stellte fest, dass nicht davon auszugehen ist, das Asylverfahren und die Aufnahmebedingungen in Kroatien wiesen systemische Schwachstellen im Sinne von Art. 3 Abs. 2 Sätze 2 und 3 Dublin-III-VO auf, die eine Überstellung von Gesuchstellen-den generell als unzulässig erscheinen lassen würden (vgl. E-1488/2020 E. 9.5). Der - angesichts der in E. 9.4.2 f. des Urteils dargelegten Situation prima vista nicht unbegründete - Verdacht eines Gefährdungszusammen-hangs zwischen Push-Backs und Dublin-Rückkehr lasse sich aufgrund der verfügbaren Informationen und Erkenntnisse nicht erhärten. Im Rahmen einer auf die Dublin-III-VO gestützten Überstellung liege das Hauptaugen-merk auf der Frage, ob die gesuchstellende Person, zu deren Aufnahme sich die kroatischen Behörden bereit erklärt hätten, Zugang zum dortigen Asylverfahren erhalten werde. Dabei stehe nicht mehr im Vordergrund, ob es für die schutzsuchende Person zuvor allenfalls äusserst schwierig gewesen sei, überhaupt auf kroatisches Territorium zu gelangen. Es sei nicht a priori von einer gleichgelagerten Gefährdung für Dublin-Rückkehrende auszugehen wie für Personen, welche erstmals versuchen würden, in das Land einzureisen oder es zu durchqueren. Zum aktuellen Zeitpunkt würden keine genügenden Anzeichen für die Befürchtung bestehen, im Dublin-Kontext überstellte Personen würden ohne Eröffnung und Durchführung eines Asylverfahrens in unzulässiger Weise aus Kroatien ausgeschafft. Dies treffe sowohl auf die Überstellung im Rahmen von Take-Charge- (Aufnahme-) als auch von Take-Back- (Wiederaufnahme-) Verfahren zu (vgl. a.a.O. E. 9.4.4). Im Ergebnis sei davon auszugehen, dass Gesuchstellende, welche gestützt auf die Dublin-III-VO nach Kroatien überstellt würden, Zugang zum dortigen Asylverfahren erhalten, unabhängig davon, ob es sich um ein Take-Charge- oder Take-Back-Verfahren handle. Insbesondere bestehe keine beachtliche Wahrscheinlichkeit, die Überstellten würden der Gefahr einer Verletzung ihrer aus dem Refoulement-Verbot fliessenden Rechte ausgesetzt werden (vgl. a.a.O. E. 9.5; seither bestätigt in zahlreichen Urteilen, vgl. statt vieler Urteile des BVGer D-7037/2023 vom 9. Januar 2024 E. 6.4; F-5666/2023 vom 29. November 2023 E. 5.3; D-5113/2023 vom 6. November 2023 E. 7.2). Für ein Abweichen von dieser aktuellen, auf einer Gesamtbetrachtung diverser staatliche und nichtstaatlicher Quellen sowie der Rechtsprechung anderer Dublin-Mitgliedstaaten beruhenden Beurteilung des Bundesverwaltungsgerichts besteht auch angesichts der Einwände des Beschwerdeführers und der von ihm zitierten kritischen Berichte mehrerer nationaler und internationaler Nichtregierungsorganisationen kein Anlass.</w:t>
      </w:r>
    </w:p>
    <w:p>
      <w:r>
        <w:rPr>
          <w:b/>
        </w:rPr>
        <w:t>E. 6.4</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und schützt,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6.5.1</w:t>
      </w:r>
    </w:p>
    <w:p>
      <w:r>
        <w:t>Im Dublin-Gespräch gab der Beschwerdeführer in Bezug auf Kroatien lediglich an, dass ihm seine Fingerabdrücke mit Gewalt abgenommen worden seien. Erst mit dem Schreiben seiner Rechtsvertretung vom 2. Januar 2024 und der Beschwerdeschrift macht er weitere Vorfälle und insbesondere massive Polizeigewalt bei der Einreise nach Kroatien sowie schlechte Unterbringungsmodalitäten in den Ankunftszentren geltend.</w:t>
      </w:r>
    </w:p>
    <w:p>
      <w:r>
        <w:rPr>
          <w:b/>
        </w:rPr>
        <w:t>E. 6.5.2</w:t>
      </w:r>
    </w:p>
    <w:p>
      <w:r>
        <w:t>Ob bzw. inwieweit diese Vorbringen des Beschwerdeführers, welche unbelegt bleiben und erst im Nachgang an das Dublin-Gespräch geltend gemacht wurden, glaubhaft sind, kann vorliegend offenbleiben. Denn das Bundesverwaltungsgericht geht davon aus, dass er sich nach der Dublin-Rücküberstellung in einer anderen Situation als bei der ersten Einreise nach Kroatien befinden wird (vgl. Urteil des BVGer E-1488/2020 E. 9.4 m.w.H.). Der Beschwerdeführer vermag nicht rechtsgenügend darzutun, dass die von ihm bei einer Rückführung nach Kroatien zu erwartenden Bedingungen derart schlecht wären, dass sie zu einer Verletzung von Art. 4 der EU-Grundrechtecharta, Art. 3 EMRK bzw. Art. 1 FoK führen würden.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Bei einer allfälligen vorübergehenden Einschränkung der ihm zustehenden Aufnahmebedingungen könnte er sich nötigenfalls an die kroatischen Behörden wenden und ihre Rechte auf dem Rechtsweg einfordern (vgl. Art. 26 Aufnahmerichtlinie). Sollte er sich durch kroatische Behörden oder Drittpersonen ungerecht oder rechtswidrig behandelt fühlen, könnte er sich mit einer Beschwerde an die zuständigen Stellen wenden oder eine Anzeige einreichen. Im Übrigen steht ihm auch die Möglichkeit offen, die vor Ort tätigen karitativen Organisationen zu kontaktieren. Für ein Abweichen von dieser Beurteilung besteht unter Berücksichtigung des aktuellen Referenzurteils des Bundesverwaltungsgerichts (vgl. E. 6.3) selbst angesichts der vom Beschwerdeführer zitierten kritischen Berichte internationaler Nichtregierungsorganisationen kein Anlass.</w:t>
      </w:r>
    </w:p>
    <w:p>
      <w:r>
        <w:rPr>
          <w:b/>
        </w:rPr>
        <w:t>E. 6.6</w:t>
      </w:r>
    </w:p>
    <w:p>
      <w:r>
        <w:t>Bezüglich der gesundheitlichen Aspekte ist festzuhalten, dass der Beschwerdeführer im Dublin-Gespräch angab, bei sehr guter psychischer und physischer Gesundheit zu sein, und er in der Beschwerdeschrift keine gesundheitlichen Probleme geltend macht. Auch den vorliegenden Akten sind keine gesundheitlichen Probleme zu entnehmen.</w:t>
      </w:r>
    </w:p>
    <w:p>
      <w:r>
        <w:rPr>
          <w:b/>
        </w:rPr>
        <w:t>E. 6.7</w:t>
      </w:r>
    </w:p>
    <w:p>
      <w:r>
        <w:t>Gemäss Praxis des Bundesverwaltungsgerichts verfügt die Vorinstanz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6.8</w:t>
      </w:r>
    </w:p>
    <w:p>
      <w:r>
        <w:t>Es liegen somit weder völkerrechtliche Vollzugshindernisse vor, welche die Schweiz zum Selbsteintritt verpflichten würden, noch Rechtsfehler bei der Ermessensbetätigung. Es besteht folglich kein Grund für einen Selbsteintritt der Schweiz gemäss Art. 29a Abs. 3 AsylV 1 i.V.m. Art. 17 Dublin-III-VO.</w:t>
      </w:r>
    </w:p>
    <w:p>
      <w:r>
        <w:rPr>
          <w:b/>
        </w:rPr>
        <w:t>E. 7</w:t>
      </w:r>
    </w:p>
    <w:p>
      <w:r>
        <w:t>Die Vorinstanz ist daher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 Nach dem Gesagten ist die Beschwerde abzuweisen.</w:t>
      </w:r>
    </w:p>
    <w:p>
      <w:r>
        <w:rPr>
          <w:b/>
        </w:rPr>
        <w:t>E. 8</w:t>
      </w:r>
    </w:p>
    <w:p>
      <w:r>
        <w:t>Das Gesuch um Gewährung der aufschiebenden Wirkung ist mit Ausfällung des vorliegenden Endentscheids gegenstandslos geworden. Der verfügte Vollzugsstopp fällt mit dem vorliegenden Urteil dahin.</w:t>
      </w:r>
    </w:p>
    <w:p>
      <w:r>
        <w:rPr>
          <w:b/>
        </w:rPr>
        <w:t>E. 9.1</w:t>
      </w:r>
    </w:p>
    <w:p>
      <w:r>
        <w:t>Das Gesuch um Gewährung der unentgeltlichen Prozessführung ist abzuweisen, da die Begehren - wie sich aus den vorstehenden Erwägungen ergibt - als aussichtslos zu bezeichnen sind und dies auch schon im Zeitpunkt der Gesuchstellung waren (Art. 65 Abs. 1 und 2 VwVG).</w:t>
      </w:r>
    </w:p>
    <w:p>
      <w:r>
        <w:rPr>
          <w:b/>
        </w:rPr>
        <w:t>E. 9.2</w:t>
      </w:r>
    </w:p>
    <w:p>
      <w:r>
        <w:t>Bei diesem Ausgang des Verfahrens sind die Kosten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