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F-3883/2023 vom 4. Juli 2023</w:t>
      </w:r>
    </w:p>
    <w:p>
      <w:r>
        <w:t>Bundesverwaltungsgericht, 2023-07-04, FR</w:t>
      </w:r>
    </w:p>
    <w:p>
      <w:r>
        <w:rPr>
          <w:b/>
        </w:rPr>
        <w:t xml:space="preserve">Quelle: </w:t>
      </w:r>
      <w:r>
        <w:t>https://mcp.opencaselaw.ch/entscheid/bvger_F-3883_2023_d20230704</w:t>
      </w:r>
    </w:p>
    <w:p>
      <w:r>
        <w:t>FR: TAF F-3883/2023 du 4 juillet 2023</w:t>
      </w:r>
    </w:p>
    <w:p>
      <w:r>
        <w:t>IT: TAF F-3883/2023 del 4 luglio 2023</w:t>
      </w:r>
    </w:p>
    <w:p>
      <w:pPr>
        <w:pStyle w:val="Heading2"/>
      </w:pPr>
      <w:r>
        <w:t>Regeste</w:t>
      </w:r>
    </w:p>
    <w:p>
      <w:r>
        <w:t>Attribution d'un demandeur d'asile &amp;agrave; un canton | Attribution d'un demandeur d'asile à un canton; décision du SEM du 4 juillet 2023</w:t>
      </w:r>
    </w:p>
    <w:p>
      <w:pPr>
        <w:pStyle w:val="Heading2"/>
      </w:pPr>
      <w:r>
        <w:t>Erwägungen</w:t>
      </w:r>
    </w:p>
    <w:p>
      <w:r>
        <w:rPr>
          <w:b/>
        </w:rPr>
        <w:t>E. 8</w:t>
      </w:r>
    </w:p>
    <w:p>
      <w:r>
        <w:t>CEDH, c’est-à-dire un lien de dépendance particulier vis-à-vis de ses fils (cf. arrêts du TAF F-3430/2022 du 13 juin 2023 consid. 4.4 et 4.5 et F-5774/2020 du 15 mars 2021 consid. 3.3), de sorte que le grief formel de violation du droit d’être entendu est recevable (ATAF 2008/47 consid. 1.3), qu’il convient d’examiner ledit grief en premier lieu, puisqu’il entraîne en principe l'annulation de la décision rendue et le renvoi de la cause à l'autorité inférieure sans égard aux chances de succès du recours sur le fond (ATF 135 I 279 consid. 2.6.1 ; ATAF 2014/38 consid. 8 et 2008/47 consid. 1.3), que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(ATF 138 IV 81 consid. 2.2 ; arrêt du TF 2C_360/2011 du 18 novembre 2011 consid. 2.1 ; ATAF 2013/34 consid. 4.1),</w:t>
      </w:r>
    </w:p>
    <w:p>
      <w:r>
        <w:t>F-3883/2023 Page 6 que l'étendue de l'obligation de motiver dépend des circonstances du cas particulier, que cette obligation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ATAF 2013/56 consid. 3.1), qu’en particulier, lorsque les parties font valoir des griefs pertinents, il doit ressortir de la motivation de la décision que l’autorité administrative s’est penchée sur les éléments évoqués et en a apprécié la pertinence (cf. art. 32 al. 1 PA ; arrêts du TAF F-4798/2019 du 10 octobre 2019 consid. 3.2 et F-615/2015 du 31 janvier 2018 consid. 3.1.3), qu’ainsi, une autorité viole l’obligation de motiver si elle omet de se prononcer sur des griefs qui présentent une certaine pertinence ou de prendre en considération des allégués et arguments importants pour la décision à rendre (cf. ATF 134 I 83 consid. 4.1; ATAF 2013/23 consid. 6.1.1), qu’une motivation insuffisante ne peut être retenue que si la décision attaquée, sur le point litigieux, n’est aucunement motivée ou si cette motivation est à ce point indigente que la partie recourante ne soit pas à même de la contester à bon escient (ATF 133 III 439 consid. 3.3), que l’obligation de motiver a une portée spécifique non seulement lors de l’attribution cantonale mais également dans le cadre du changement d’attribution cantonale, étant donné que, dans la pesée des intérêts en présence, il doit en particulier être tenu compte de la situation familiale du requérant, que dans la mesure où la loi accorde un poids particulier au principe de l’unité de la famille, qui est une émanation des art. 13 Cst. et 8 CEDH, le SEM doit analyser concrètement la demande et motiver sa décision d’attribution, lorsque le requérant invoque ce principe pour demander expressément et de manière motivée à être attribué à un canton déterminé en raison de ses relations familiales (EMILIA ANTONIONI LUFTENSTEINER, in: Amarelle/Nguyen [éd.], Code annoté de droit des migrations, vol. IV : Loi sur l'asile [LAsi], 2015, ad art. 27 N 13),</w:t>
      </w:r>
    </w:p>
    <w:p>
      <w:r>
        <w:t>F-3883/2023 Page 7 que dans ce cas de figure, une décision par formule standardisée ne satisfait pas aux exigences découlant du devoir de motivation et viole par conséquent le droit d'être entendu (ATAF 2008/47 consid. 3.3.3), que le SEM est également tenu de motiver concrètement sa décision lorsque le requérant demande implicitement, lors de son audition, à être attribué à un canton déterminé afin d’y rejoindre un membre de sa famille ou lorsque le dossier de la cause contient des éléments plaidant pour l’attribution de l’intéressé à un canton déterminé (ATAF 2009/54 consid. 2.4.1.2 ; arrêts du TAF F-5373/2019 du 31 octobre 2019 p. 5 et F-4798/2019 du 10 octobre 2019 consid. 3.3), qu’il ressort du dossier de la cause que deux enfants majeurs de l’intéressée, Y._______ (N […]), titulaire d’une autorisation de séjour et Z._______ (N […]), titulaire d’une admission provisoire, résident sur le canton de Fribourg, que durant son entretien Dublin du 28 septembre 2022, la recourante a signalé qu’elle avait besoin d’être auprès de ses enfants et le représentant juridique a estimé que celle-ci se trouvait dans un lien de dépendance avec ceux-ci, qu’en outre, Y._______ a rédigé plusieurs courriers, durant la procédure Dublin de sa mère, pour souligner l’assistance physique et psychologique que lui et son frère Z._______ lui apportaient au quotidien, ainsi que la relation de dépendance qui les unissait, que nonobstant ces éléments, la décision litigieuse du 4 juillet 2023 a été rendue sous la forme d’un formulaire standardisé ne contenant aucune motivation quant à l’attribution de l’intéressée au canton du Valais, que, indépendamment du fait que la décision attaquée n’indique pas le motif pour lequel le SEM n’a pas tenu compte de la décision d’attribution du 13 janvier 2023, il ne ressort nullement de la décision du 4 juillet 2023 que le SEM se serait livré à un examen individualisé de la situation de la requérante et de ses intérêts, malgré les éléments plaidant pour son attribution à un canton déterminé, qu’en particulier, il n’apparaît pas que l’autorité inférieure ait tenu compte dans son argumentation, même a minima, du principe de l’unité de la famille,</w:t>
      </w:r>
    </w:p>
    <w:p>
      <w:r>
        <w:t>F-3883/2023 Page 8 que le fait que le Tribunal, dans son arrêt du 9 janvier 2023, n’ait lui-même pas retenu un rapport de dépendance particulier de l’intéressée avec ses enfants ne change rien à ce constat, ce d’autant moins que cet arrêt a été rendu il y a plus de six mois et que l’état de santé de la recourante était susceptible de se détériorer dans l’intervalle, ainsi que l’attestent, prima facie, les deux rapports médicaux joints au recours du 11 juillet 2023, que, pour ce motif déjà, la décision d’attribution du 4 juillet 2023 ne satisfait pas aux exigences découlant du devoir de motivation et viole par conséquent le droit d'être entendu de la recourante (cf., s’agissant plus généralement de l’indigence de la motivation de la décision querellée, supra, ch. II). IV. Que sous deux autres aspects également, le SEM a violé le droit d’être entendue de la recourante. IV.1 Que le dossier de l’autorité inférieure ne contient pas la première décision d’attribution cantonale de l’intéressée (rendue selon toute vraisemblance le 13 janvier 2023), mais uniquement le courrier adressé par le SEM au Service de la population du canton de Vaud, informant cette autorité de ladite attribution, pièce désignée au bordereau en tant que « documents de sortie » (pièce […]), que le droit constitutionnel à la tenue d'un dossier respectant les droits procéduraux des parties oblige les autorités à veiller à ce que tous les actes établis et produits en cours de procédure soient classés de manière claire et ordonnée, qu’il leur appartient en principe également de paginer le dossier et d'effectuer un bordereau au plus tard lors du prononcé de la décision (cf. arrêt du TF 8C_725/2012 du 27 mars 2013 consid. 4.1.2 ; arrêt du TAF F-1676/2019 du 28 août 2020 consid. 5.3 et 6.4), que les autorités doivent ainsi intégrer dans le dossier toutes les pièces qui appartiennent à la cause et qui par essence peuvent influer sur l’issue de la décision (cf. ATAF 2013/23 consid. 6.4.2 ; arrêt du TAF F-4618/2017 du</w:t>
      </w:r>
    </w:p>
    <w:p>
      <w:r>
        <w:rPr>
          <w:b/>
        </w:rPr>
        <w:t>E. 11</w:t>
      </w:r>
    </w:p>
    <w:p>
      <w:r>
        <w:t>décembre 2019 consid. 4.2.1), qu’en l’espèce, l’autorité inférieure n’a pas respecté cette obligation. IV.2 Que la première décision d’attribution cantonale, étant donné qu’elle a été rendue postérieurement à l’arrêt du Tribunal du 9 janvier 2023 (cause</w:t>
      </w:r>
    </w:p>
    <w:p>
      <w:r>
        <w:t>F-3883/2023 Page 9 F-25/2023), doit être qualifiée de finale, et non pas d’incidente, puisqu’elle ne réglait pas une question – en cours de procédure – à un stade préalable à une décision finale (ATAF 2022 IV/2 consid. 4.6.1 et 4.7.1 et ATAF 2017 VI/9 consid. 4.1.2 [a contrario] ; cf., pour une autre constellation dans laquelle une décision d’attribution cantonale n’a pas un caractère incident, arrêt du TAF F-1943/2022 du 19 mai 2022 consid. 3.2 et 3.3), que cette décision – non contestée − a acquis force de chose décidée, que cela étant, le chiffre 3 du dispositif de la décision du SEM datée du 4 juillet 2023 doit être qualifié de révocation de la précédente décision d’attribution cantonale, en tant que l’autorité administrative a elle-même pris l’initiative de la modifier (PIERRE MOOR/ETIENNE POLTIER, Droit administratif, vol. II, 3e éd., Berne 2011, ch. 2.4.1 ; cf. arrêt du TAF F-1367/2019 du 20 juillet 2021 consid. 7.3.1 non publié in ATAF 2021 VII/4), qu’en tant que le SEM eut estimé que la première décision d’attribution cantonale était irrégulière, il lui appartenait – afin de respecter son devoir de motiver la seconde décision d’attribution cantonale – d’effectuer une soigneuse balance des intérêts, incluant en particulier la sécurité du droit, qu’en tant que le SEM eut estimé que la première décision d’attribution cantonale était conforme au droit, il lui appartenait également – afin de respecter son devoir de motiver la seconde décision d’attribution cantonale – d’exposer, par exemple, dans quelle mesure une éventuelle violation, par la recourante, de ses obligations aurait justifié de revenir sur cette première décision (PIERRE MOOR/ETIENNE POLTIER, op. cit., ch. 2.4.3 ; ATAF 2018 VII/1 consid. 5.4 et 2017 VI/9 consid. 4.2.1), qu’enfin, même à admettre que la première décision d’attribution cantonale n’avait, en fait, pas été notifiée à la recourante (et n’aurait donc pas déployé d’effets juridiques [art. 38 PA] ; PIERRE MOOR/ETIENNE POLTIER, op. cit., ch. 2.3.1.2), un devoir de motivation s’imposait quoi qu’il en soit à l’autorité intimée (cf. supra, ch. III). V. Que la violation du droit d’être entendu garanti par l'art. 29 al. 2 Cst. entraîne, si elle est particulièrement grave, l'annulation de la décision attaquée, indépendamment de l'incidence de cette violation sur le fond, que, pour autant qu'elle ne soit pas d'une gravité particulière, elle peut être exceptionnellement réparée lorsque la partie lésée a la possibilité de</w:t>
      </w:r>
    </w:p>
    <w:p>
      <w:r>
        <w:t>F-3883/2023 Page 10 s'exprimer devant une autorité de recours jouissant d'un plein pouvoir d'examen (cf. ATAF 2013/23 consid. 6.1.3 ; arrêt du TAF D-7819/2015 du</w:t>
      </w:r>
    </w:p>
    <w:p>
      <w:r>
        <w:rPr>
          <w:b/>
        </w:rPr>
        <w:t>E. 16</w:t>
      </w:r>
    </w:p>
    <w:p>
      <w:r>
        <w:t>décembre 2015 consid. 4.5), que le Tribunal a, par exemple, eu l’occasion de souligner la gravité de la violation de l’obligation de motiver que constituait une décision rendue sous forme de formule standardisée, s’agissant de l’attribution d’un requérant d’asile à un canton différent de celui où résidait sa fiancée enceinte (arrêt du TAF F-4798/2019 du 10 octobre 2019 consid. 3.4 et 3.5), qu’au vu de la gravité du vice et de la cognition limitée du Tribunal (ATAF 2015/9 consid. 6.2 et 8.2.2), une guérison de ce vice est exclue, que le Tribunal renonce à un échange d’écritures, le présent arrêt n’étant motivé que sommairement (cf. art. 111a al. 1 et 2 LAsi), qu’il s’ensuit que le recours doit être admis et la décision du 4 juillet 2023 annulée, la cause étant renvoyée au SEM pour nouvelle décision dans le sens des considérants (art. 61 al. 1 in fine PA), que dans cette mesure, il est superflu d’examiner les griefs matériels invoqués par la recourante, qu’il est rappelé aux parties que l’autorité intimée est liée par ce qui a déjà été tranché dans le cadre du présent arrêt de renvoi et qu’elle est donc tenue de fonder sa nouvelle décision sur les considérants de celui-ci (arrêt du TF 2C_519/2013 du 3 septembre 2013 consid. 2.1), que, s'avérant manifestement fondé, le présent recours est admis dans une procédure à juge unique, avec l'approbation d'un second juge (art. 111 let. e LAsi), que dans la mesure où il a été immédiatement statué, les demandes de restitution de l’effet suspensif et d’exemption du paiement d’une avance de frais sont sans objet, que la recourante ayant obtenu gain de cause, il n’est pas perçu de frais de procédure (art. 63 al. 1 et 2 PA) et la requête d’octroi de l’assistance judiciaire partielle est sans objet, que, conformément aux art. 64 al. 1 PA et 7 al. 1 du règlement du 21 février 2008 concernant les frais, dépens et indemnités fixés par le Tribunal administratif fédéral (FITAF, RS 173.320.2), la recourante, qui a eu gain de</w:t>
      </w:r>
    </w:p>
    <w:p>
      <w:r>
        <w:t>F-3883/2023 Page 11 cause et qui a fait appel à un représentant, a droit à des dépens pour les frais nécessaires causés par le litige, qu’en l'absence de décompte de prestations, le Tribunal fixe l'indemnité sur la base du dossier (cf. art. 14 al. 2 FITAF), qu’au vu de l'ensemble des circonstances du cas, de l'importance de l'affaire, du degré de difficulté de cette dernière et de l'ampleur du travail accompli par le mandataire de la recourante (qui n’exerce pas la profession d’avocat), le TAF estime, au regard des art. 8 ss FITAF, que le versement d'un montant de 800 francs à titre de dépens apparaît comme équitable en la présente cause,</w:t>
      </w:r>
    </w:p>
    <w:p>
      <w:r>
        <w:t>(dispositif – page suivante)</w:t>
      </w:r>
    </w:p>
    <w:p>
      <w:r>
        <w:t>F-3883/2023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