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F-3880/2019 vom 12. Februar 2020</w:t>
      </w:r>
    </w:p>
    <w:p>
      <w:r>
        <w:t>Bundesverwaltungsgericht, 2020-02-12, FR</w:t>
      </w:r>
    </w:p>
    <w:p>
      <w:r>
        <w:rPr>
          <w:b/>
        </w:rPr>
        <w:t xml:space="preserve">Quelle: </w:t>
      </w:r>
      <w:r>
        <w:t>https://mcp.opencaselaw.ch/entscheid/bvger_F-3880_2019</w:t>
      </w:r>
    </w:p>
    <w:p>
      <w:r>
        <w:t>FR: TAF F-3880/2019 du 12 février 2020</w:t>
      </w:r>
    </w:p>
    <w:p>
      <w:r>
        <w:t>IT: TAF F-3880/2019 del 12 febbraio 2020</w:t>
      </w:r>
    </w:p>
    <w:p>
      <w:pPr>
        <w:pStyle w:val="Heading2"/>
      </w:pPr>
      <w:r>
        <w:t>Regeste</w:t>
      </w:r>
    </w:p>
    <w:p>
      <w:r>
        <w:t>Interdiction d'entrée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compte tenu des circonstances d'espèce, statue définitivement (art. 1 al. 2 LTAF en relation avec l'art. 83 let. c ch. 1 de la loi du 17 juin 2005 sur le Tribunal fédéral ([LTF, RS 173.110]). A moins que la LTAF n'en dispose autrement, la procédure devant le Tribunal est régie par la PA (art. 37 LTAF). Directement visé par la décision entreprise, A._______ a qualité pour recourir (art. 48 al. 1 PA). Présenté dans la forme (art. 52 PA) et dans les délais prescrits par la loi (art. 50 PA), son recours est recevable.</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Il examine les décisions qui lui sont soumises avec un plein pouvoir d'examen en fait et en droit. Conformément à la maxime inquisitoire, le Tribunal constate les faits d'office (art. 12 PA) ; appliquant d'office le droit fédéral, il n'est lié ni par l'argumentation développée à l'appui du recours (art. 62 al. 4 PA), ni par la motivation de la décision entreprise. Il peut donc s'écarter aussi bien des arguments des parties que des considérants juridiques de la décision querellée, fussent-ils incontestés (ATF 140 III 86 consid. 2 ; arrêt du Tribunal fédéral [ci-après : le TF] 1C_454/2017 du 16 mai 2018 consid. 4.1 et 4.2). Dans son arrêt, il prend en considération l'état de fait existant au moment où il statue (ATAF 2014/1 consid. 2).</w:t>
      </w:r>
    </w:p>
    <w:p>
      <w:r>
        <w:rPr>
          <w:b/>
        </w:rPr>
        <w:t>E. 3</w:t>
      </w:r>
    </w:p>
    <w:p>
      <w:r>
        <w:t>Sur le plan matériel, la décision querellée a été rendue en application de la loi sur les étrangers du 16 décembre 2005 dans ses versions en vigueur avant le 31 décembre 2018 (LEtr, RO 2007 5437 et les modifications subséquentes). Or, cette loi a subi plusieurs modifications partielles depuis le 1er janvier 2019, date à laquelle elle a notamment connu un changement de dénomination, en ce sens qu'elle s'intitule depuis loi fédérale sur les étrangers et l'intégration du 16 décembre 2005 (LEI, RS 142.20). Est également entrée en vigueur, le même jour, la modification partielle du 15 août 2018 de l'ordonnance relative à l'admission, au séjour et à l'exercice d'une activité lucrative du 24 octobre 2007 (OASA, RS 142.201). Les dispositions applicables à la présente cause n'ont pas subi de modifications propres à influer sur l'issue de celle-ci. En effet, le contenu de l'art. 67 al. 2 let. a et al. 3 LEtr (sur lequel se fonde la décision querellée) est strictement le même que celui de l'art. 67 al. 2 let. a et al. 3 LEI. Quant au contenu de l'ancien art. 80 al. 1 let. a et al. 2 OASA, en vigueur jusqu'au 31 décembre 2018, il a été repris, avec une modification de nature purement rédactionnelle sans portée matérielle, à l'art. 77a al. 1 let. a et al. 2 OASA dans sa version en vigueur depuis le 1er janvier 2019 (Rapport explicatif du 7 novembre 2017 concernant la modification de l'OASA, p. 17 ad art. 77a et p. 25 ad art. 80). A défaut d'intérêt public prépondérant susceptible de justifier une application immédiate des nouvelles dispositions, le Tribunal de céans, en l'absence de dispositions transitoires contenues dans la LEI et l'OASA sur ce point, doit ainsi appliquer le droit en vigueur au jour où l'autorité de première instance a statué (ATF 141 II 393 consid. 2.4, 139 II 470 consid. 4.2). Dans la présente affaire, il appliquera donc la loi sur les étrangers dans sa teneur en vigueur jusqu'au 31 décembre 2018, en utilisant l'ancienne dénomination (LEtr), et citera l'OASA selon sa teneur en vigueur jusqu'au 31 décembre 2018 (arrêts du TAF F-3231/2017 du 9 mai 2019 consid. 3.1 et F-5751/2017 du 27 mars 2019 consid. 2.3).</w:t>
      </w:r>
    </w:p>
    <w:p>
      <w:r>
        <w:rPr>
          <w:b/>
        </w:rPr>
        <w:t>E. 4.1</w:t>
      </w:r>
    </w:p>
    <w:p>
      <w:r>
        <w:t>Conformément à l'art. 67 al. 1 let. a LEtr, le SEM interdit l'entrée en Suisse à un étranger frappé d'une décision de renvoi lorsque le renvoi est immédiatement exécutoire en vertu de l'art. 64d al. 2 let. a à c LEtr. Selon l'art. 67 al. 2 let. a LEtr, le SEM peut interdire l'entrée en Suisse à un étranger lorsque ce dernier a attenté à la sécurité et à l'ordre publics en Suisse ou à l'étranger ou les a mis en danger. En vertu de l'art. 67 al. 3 LEtr, l'interdiction d'entrée est prononcée pour une durée maximale de cinq ans (phrase 1), mais elle peut être prononcée pour une plus longue durée lorsque la personne concernée constitue une menace grave pour la sécurité et l'ordre publics (phrase 2). Cette durée ne saurait toutefois dépasser quinze ans ou, en cas de récidive, vingt ans (ATAF 2014/20 consid. 7).</w:t>
      </w:r>
    </w:p>
    <w:p>
      <w:r>
        <w:rPr>
          <w:b/>
        </w:rPr>
        <w:t>E. 4.2</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civile et ordonnée. La sécurité publique, quant à elle, signifie l'inviolabilité de l'ordre juridique objectif, des biens juridiques des individus (notamment la vie, la santé, la liberté et la propriété), ainsi que des institutions de l'Etat (Message du Conseil fédéral concernant la loi sur les étrangers [ci-après: Message LEtr] du 8 mars 2002, FF 2002 3469, p. 3564 ad art. 61 du projet). Suivant l'art. 80 al. 1 let. a OASA, il y a notamment atteinte à la sécurité et à l'ordre publics en cas de violation de prescriptions légales ou de décisions d'autorités. Tel est le cas, en particulier, lorsqu'il y a eu violation importante ou répétée de prescriptions légales ou de décisions d'autorités (Message LEtr, p. 3564 ad art. 61 du projet et p. 3568 ad art. 66 du projet).</w:t>
      </w:r>
    </w:p>
    <w:p>
      <w:r>
        <w:rPr>
          <w:b/>
        </w:rPr>
        <w:t>E. 4.3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de nouvelles atteintes à la sécurité et à l'ordre publics (ATAF 2017 VII/2 consid. 4.4 et 4.6, et 2008/24 consid. 4.2). Le prononcé d'une interdiction d'entrée implique par conséquent que l'autorité procède à un pronostic en se fondant sur l'ensemble des circonstances du cas concret et, donc aussi, sur le comportement que l'administré a adopté par le passé. La commission antérieure d'infractions constitue en effet un indice de poids permettant de penser qu'une nouvelle atteinte à la sécurité et à l'ordre publics sera commise à l'avenir (ibidem).</w:t>
      </w:r>
    </w:p>
    <w:p>
      <w:r>
        <w:rPr>
          <w:b/>
        </w:rPr>
        <w:t>E. 4.4</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ATAF 2017 VII/2 consid. 4.5). Elle doit également respecter le principe de l'égalité de traitement et s'interdire tout arbitraire (voir notamment arrêts du TAF F-1519/2017 du 10 avril 2019 consid. 9.1 et F-1061/2018 du 11 mars 2019 consid. 6.1).</w:t>
      </w:r>
    </w:p>
    <w:p>
      <w:r>
        <w:rPr>
          <w:b/>
        </w:rPr>
        <w:t>E. 5</w:t>
      </w:r>
    </w:p>
    <w:p>
      <w:r>
        <w:t>Dans un premier temps, il convient d'examiner si le prononcé d'une interdiction d'entrée à l'endroit du recourant est justifié dans son principe.</w:t>
      </w:r>
    </w:p>
    <w:p>
      <w:r>
        <w:rPr>
          <w:b/>
        </w:rPr>
        <w:t>E. 5.1</w:t>
      </w:r>
    </w:p>
    <w:p>
      <w:r>
        <w:t>Le SEM a notamment fondé la décision entreprise sur l'art. 67 al. 1 let. a LEtr suivant lequel, sous réserve de l'art. 67 al. 5 LEtr, il interdit l'entrée en Suisse à un étranger frappé d'une décision de renvoi lorsque le renvoi est immédiatement exécutoire en vertu de l'art. 64d al. 2 let. a, b ou c LEtr. En l'occurrence, ainsi que le prévoit l'art. 64c al. 1 let. a LEtr, le recourant a été renvoyé de Suisse le 5 octobre 2017 sans décision formelle sur la base de sa réadmission en Italie en application de l'Accord du 10 septembre 1998 entre la Confédération suisse et la République italienne relatif à la réadmission des personnes en situation irrégulière (RS 0.142.114.549). Une telle décision est immédiatement exécutoire (ou dans un délai de moins de sept jours) en vertu de l'art. 64d al. 2 let. d LEtr - et non par application de l'art. 64d al. 2 let. a, b ou c LEtr - et ne constitue ainsi pas un motif fondant le prononcé d'une interdiction d'entrée en Suisse en application de l'art. 67 al. 1 let. a LEtr. Il apparaît donc que - de ce point de vue - la décision entreprise, invoquant une disposition légale dont les conditions matérielles ne sont pas réalisées, est mal fondée.</w:t>
      </w:r>
    </w:p>
    <w:p>
      <w:r>
        <w:rPr>
          <w:b/>
        </w:rPr>
        <w:t>E. 5.2</w:t>
      </w:r>
    </w:p>
    <w:p>
      <w:r>
        <w:t>Il reste à examiner si le motif alternatif soulevé par le SEM dans la décision entreprise est de nature à justifier à lui seul le principe même du prononcé d'une interdiction d'entrée en Suisse. En effet, le SEM a par ailleurs motivé sa décision d'interdiction d'entrée sur la base du constat effectué par le CGFR en retenant que l'intéressé avait tenté d'entrer illégalement en Suisse. L'autorité intimée a estimé que le recourant avait ainsi contrevenu aux prescriptions de police des étrangers, attentant de la sorte à l'ordre et la sécurité publics.</w:t>
      </w:r>
    </w:p>
    <w:p>
      <w:r>
        <w:rPr>
          <w:b/>
        </w:rPr>
        <w:t>E. 5.2.1</w:t>
      </w:r>
    </w:p>
    <w:p>
      <w:r>
        <w:t>Conformément à l'art. 5 al. 1 let. a, b, c et d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LEtr).</w:t>
      </w:r>
    </w:p>
    <w:p>
      <w:r>
        <w:rPr>
          <w:b/>
        </w:rPr>
        <w:t>E. 5.2.2</w:t>
      </w:r>
    </w:p>
    <w:p>
      <w:r>
        <w:t>Aux termes de l'art. 2 al. 1 de l'ordonnance du 22 octobre 2008 sur l'entrée et l'octroi de visas (OEV, RS 142.204 ; applicable à la présente procédure en vertu de l'art. 70 de l'OEV du 15 août 2018),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let. a, b, c, d et e Code frontières Schengen, dont le contenu coïncide largement avec celui de l'art. 5 al. 1 LEtr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5.2.3</w:t>
      </w:r>
    </w:p>
    <w:p>
      <w:r>
        <w:t>En principe, les ressortissants libanais sont soumis à l'obligation de visa tant pour un séjour touristique inférieur à 90 jours que pour un séjour d'une durée supérieure (Annexe I du règlement [CE] n° 539/2001 du Conseil du 15 mars 2001, remplacé par le Règlement [UE] 2018/1806 du Parlement européen et du Conseil du 14 novembre 2018 [JO L 303 du 28 novembre 2018, p. 39-58], et qui ne se différencie pas de sa version antérieure sur ce point ; voir aussi le site internet du SEM : www.sem.admin.ch Entrée &amp; séjour Entrée Directives Visas VII. Visas Séjour jusqu'à 90 jours Annexe 1, liste 1 : Prescriptions documents de voyage et de visas selon nationalité &gt; Liban ; consulté en février 2020). Toutefois, les ressortissants libanais qui bénéficient d'un titre de séjour émis par un Etat membre de l'Espace Schengen sont libérés de l'obligation de requérir la délivrance d'un visa pour un séjour en Suisse de courte durée sans activité lucrative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 consulté en février 2020).</w:t>
      </w:r>
    </w:p>
    <w:p>
      <w:r>
        <w:rPr>
          <w:b/>
        </w:rPr>
        <w:t>E. 5.2.4</w:t>
      </w:r>
    </w:p>
    <w:p>
      <w:r>
        <w:t>En l'occurrence, il ressort des pièces du dossier que lorsque le recourant a été contrôlé le 5 octobre 2017 par le CGFR à l'arrivée de la navette ferroviaire porte-autos à Brigue, il ne bénéficiait ni d'un titre de séjour d'un Etat Schengen en cours de validité ni d'une autorisation d'entrée valable pour la Suisse. Certes, le titre de séjour italien de l'intéressé était valable jusqu'au 19 août 2017 et il bénéficie actuellement d'un titre de séjour délivré le 3 décembre 2018, valable jusqu'au 1er février 2021. Toujours est-il qu'au moment du contrôle et du constat effectués par le CGFR le 5 octobre 2017, l'intéressé ne pouvait pas se prévaloir du privilège accordé par la règlementation Schengen et était soumis au régime ordinaire d'obligation de visa des ressortissants libanais. Le recourant ne prétend par ailleurs pas le contraire. De tels actes constituent indéniablement des atteintes à la sécurité et l'ordre public au sens de l'art. 80 al. 1 let. a OASA. En outre, selon la jurisprudence, le fait d'entrer, de séjourner et/ou de travailler en Suisse sans autorisation représente une violation grave des prescriptions de police des étrangers (ATAF 2017 VII/2 consid. 6.2 ; arrêt du TAF F-2913/2018 du 12 décembre 2019 consid. 4.4).</w:t>
      </w:r>
    </w:p>
    <w:p>
      <w:r>
        <w:rPr>
          <w:b/>
        </w:rPr>
        <w:t>E. 5.2.5</w:t>
      </w:r>
    </w:p>
    <w:p>
      <w:r>
        <w:t>Dans ce contexte, l'argumentaire du recourant plaidant l'erreur et tendant à relativiser la gravité des faits retenus à son encontre, et à démontrer donc indirectement que les conditions de l'art. 67 LEtr ne sont pas réalisées, tombe à faux. Il y a, en outre, lieu de tenir compte de ce que le recourant ne pouvait ignorer que son titre de séjour italien était échu et que, dans ces circonstances, il ne pouvait pas entrer sans autre en Suisse en tant que ressortissant libanais. L'information - erronée - que l'intéressé aurait obtenue de la part des autorités locales italiennes selon laquelle il lui aurait été possible de voyager sans autre en Europe, y compris en Suisse, en attendant le renouvellement de ses papiers n'est pas étayée, de sorte que la protection de l'art. 9 de la Constitution fédérale de la Confédération suisse du 18 avril 1999 (Cst., RS 101) n'entre pas en considération. Plus spécialement, le Tribunal constate qu'en 2013, l'intéressé avait fait l'objet d'un contrôle dans des circonstances similaires dans le train reliant Zurich à Milan, qu'il avait alors été enjoint de quitter la Suisse en poursuivant son voyage et qu'à cette occasion déjà, son attention avait été attirée sur la possibilité que les faits constatés pouvaient justifier le prononcé d'une mesure d'éloignement du territoire à son égard.</w:t>
      </w:r>
    </w:p>
    <w:p>
      <w:r>
        <w:rPr>
          <w:b/>
        </w:rPr>
        <w:t>E. 5.3</w:t>
      </w:r>
    </w:p>
    <w:p>
      <w:r>
        <w:t>Au vu de ce qui précède, le Tribunal est amené à conclure que le recourant a attenté à la sécurité et à l'ordre publics en Suisse, de sorte qu'il se justifiait pour le SEM de prononcer une interdiction d'entrée à son encontre, en application de l'art. 67 al. 2 let. a LEtr.</w:t>
      </w:r>
    </w:p>
    <w:p>
      <w:r>
        <w:rPr>
          <w:b/>
        </w:rPr>
        <w:t>E. 6</w:t>
      </w:r>
    </w:p>
    <w:p>
      <w:r>
        <w:t>Il reste à vérifier si la mesure d'éloignement, prononcée pour une durée de trois ans, est proportionnée.</w:t>
      </w:r>
    </w:p>
    <w:p>
      <w:r>
        <w:rPr>
          <w:b/>
        </w:rPr>
        <w:t>E. 6.1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6.2</w:t>
      </w:r>
    </w:p>
    <w:p>
      <w:r>
        <w:t>En l'espèce, s'agissant de l'intérêt public à l'éloignement du recourant de Suisse, le Tribunal observe tout d'abord que seule l'entrée illégale, voire la tentative, peut lui être opposée en l'espèce. Plus spécialement, il ne ressort pas du dossier que l'intéressé aurait séjourné de manière prolongée en Suisse dans un passé récent. Au contraire, il a été intercepté par le CGFR alors qu'il entrait dans ce pays et a été immédiatement, et sans contestation de sa part, refoulé vers l'Italie où il a été réadmis. Le Tribunal ne saurait toutefois perdre de vue que l'intéressé est un récidiviste - mais que la gravité des infractions aux prescriptions de police des étrangers est décroissante - et qu'il ne semble pas concerné au plus haut point par le respect de l'ordre juridique suisse et des dispositions impératives de droit des étrangers qui le visent. Enfin, le Tribunal doit également constater que le recourant n'a jamais subi de condamnation pénale pour les faits qui lui sont reprochés, vraisemblablement en raison de l'absence d'opportunité à la poursuite pénale - et qu'aujourd'hui, le recourant est au bénéfice d'un titre de séjour italien qui lui permet, en l'absence de toute mesure d'éloignement, d'entrer en Suisse sans autorisation particulière. En l'état, il ne peut donc pas, ou plus, enfreindre les dispositions de police des étrangers dont la violation a justifié le prononcé de l'interdiction d'entrée en Suisse. Somme toute, l'intérêt public en cause doit donc être relativisé eu égard aux circonstances d'espèce.</w:t>
      </w:r>
    </w:p>
    <w:p>
      <w:r>
        <w:rPr>
          <w:b/>
        </w:rPr>
        <w:t>E. 6.3</w:t>
      </w:r>
    </w:p>
    <w:p>
      <w:r>
        <w:t>D'un autre côté, le recourant a fait valoir son intérêt économique à pouvoir se rendre en Suisse, ou à la traverser, pour pouvoir exercer son activité lucrative d'import-export de voitures d'occasion. A cet égard, il a notamment produit des attestations de garagistes avec lesquels il a l'habitude de commercer. Pour le surplus, il n'a pas fait valoir d'autres intérêts privés particuliers. Il n'a notamment pas allégué disposer en Suisse d'attaches familiales étroites ou d'autres liens particulièrement forts, bien qu'il semblerait ressortir de ses diverses auditions par le CGFR que son frère résiderait en Suisse.</w:t>
      </w:r>
    </w:p>
    <w:p>
      <w:r>
        <w:rPr>
          <w:b/>
        </w:rPr>
        <w:t>E. 6.4</w:t>
      </w:r>
    </w:p>
    <w:p>
      <w:r>
        <w:t>Ainsi, au vu de l'ensemble des éléments de la cause et après une pondération des intérêts publics et privés en présence, le Tribunal de céans considère que la durée de l'interdiction d'entrée de trois ans prononcée par le SEM ne respecte pas le principe de la proportionnalité. Au regard de la jurisprudence rendue dans des cas analogues (notamment arrêt du TAF F-7035/2017 du 16 septembre 2019), il se justifie de réduire la durée de l'interdiction d'entrée querellée et d'en limiter les effets au 30 août 2019, jour de la restitution de l'effet suspensif retiré au recours par l'autorité inférieure.</w:t>
      </w:r>
    </w:p>
    <w:p>
      <w:r>
        <w:rPr>
          <w:b/>
        </w:rPr>
        <w:t>E. 7</w:t>
      </w:r>
    </w:p>
    <w:p>
      <w:r>
        <w:t>Le recours est en conséquence partiellement admis et la décision du SEM du 9 novembre 2017 est réformée, en ce sens que l'interdiction d'entrée en Suisse et au Liechtenstein ne produit plus d'effet après le 30 août 2019.</w:t>
      </w:r>
    </w:p>
    <w:p>
      <w:r>
        <w:rPr>
          <w:b/>
        </w:rPr>
        <w:t>E. 8</w:t>
      </w:r>
    </w:p>
    <w:p>
      <w:r>
        <w:t>Dans la mesure où le recourant obtient partiellement gain de cause, il y aurait lieu de mettre des frais réduits de procédure à sa charge (art. 63 al. 1 phr. 2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conseil du recourant, le Tribunal estime, considérant les art. 8 ss FITAF, que le versement d'un montant de 600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