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F-386/2024 vom 23. Januar 2024</w:t>
      </w:r>
    </w:p>
    <w:p>
      <w:r>
        <w:t>Bundesverwaltungsgericht, 2024-01-23, FR</w:t>
      </w:r>
    </w:p>
    <w:p>
      <w:r>
        <w:rPr>
          <w:b/>
        </w:rPr>
        <w:t xml:space="preserve">Quelle: </w:t>
      </w:r>
      <w:r>
        <w:t>https://mcp.opencaselaw.ch/entscheid/bvger_F-386_2024</w:t>
      </w:r>
    </w:p>
    <w:p>
      <w:r>
        <w:t>FR: TAF F-386/2024 du 23 janvier 2024</w:t>
      </w:r>
    </w:p>
    <w:p>
      <w:r>
        <w:t>IT: TAF F-386/2024 del 23 gennaio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en examiner le bien-fondé (cf. ATAF 2017 VI/5 consid. 3.1).</w:t>
      </w:r>
    </w:p>
    <w:p>
      <w:r>
        <w:rPr>
          <w:b/>
        </w:rPr>
        <w:t>E. 3</w:t>
      </w:r>
    </w:p>
    <w:p>
      <w:r>
        <w:t>A titre liminaire, il convient d'examiner le grief formel soulevé par la recourante. Celle-ci se plaint d'une constatation incomplète et inexacte des faits pertinents qui résulterait selon elle d'une instruction insuffisante s'agissant de son état de santé ainsi que de celui de ses enfants.</w:t>
      </w:r>
    </w:p>
    <w:p>
      <w:r>
        <w:rPr>
          <w:b/>
        </w:rPr>
        <w:t>E. 3.1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w:t>
      </w:r>
    </w:p>
    <w:p>
      <w:r>
        <w:rPr>
          <w:b/>
        </w:rPr>
        <w:t>E. 3.3</w:t>
      </w:r>
    </w:p>
    <w:p>
      <w:r>
        <w:t>En l'espèce, la recourante reproche en particulier au SEM de ne pas avoir procédé à des mesures d'instruction complémentaires au sujet de sa dépression et d'avoir prononcé la décision litigieuse sans attendre la confirmation des causes de sa maladie (cf. décision querellée, p. 11). Toutefois, le rapport médical du 25 octobre 2023 indique que l'intéressée bénéficiait déjà d'un suivi psychologique en Turquie complété par un traitement antidépresseur en raison de violences conjugales dont elle aurait été victime. En outre, le dernier document médical versé au dossier en décembre 2023 expose que la recourante souffre d'un probable stress post-traumatique, mais qu'elle a décidé d'interrompre de son plein gré son suivi psychologique en raison de sa situation administrative précaire. Au vu de ce qui précède, le Tribunal estime donc qu'on ne saurait faire grief à l'autorité inférieure de ne pas avoir instruit plus en avant les troubles psychiques dont souffre l'intéressée. Quant aux affections qui toucheraient ses enfants, et contrairement aux allégations lacunaires formulées dans le recours, il sied de constater que l'autorité inférieure en a tenu compte dans sa décision, bien qu'elle n'ait pas développé ce point (cf. décision querellée, p. 3). Au demeurant, comme exposé plus en détail ci-après (cf. consid. 7.4 infra), la nature des problèmes médicaux dont souffrent les intéressés ne sont pas susceptibles de s'opposer à leur transfert en Croatie.</w:t>
      </w:r>
    </w:p>
    <w:p>
      <w:r>
        <w:rPr>
          <w:b/>
        </w:rPr>
        <w:t>E. 3.4</w:t>
      </w:r>
    </w:p>
    <w:p>
      <w:r>
        <w:t>Il résulte de ce qui précède que le grief d'ordre formel invoqué par la recourante doit être écarté dans son intégralité.</w:t>
      </w:r>
    </w:p>
    <w:p>
      <w:r>
        <w:rPr>
          <w:b/>
        </w:rPr>
        <w:t>E. 4</w:t>
      </w:r>
    </w:p>
    <w:p>
      <w:r>
        <w:t>Dès lors, il s'agit de déterminer si, dans le cas d'espèce, le SEM était fondé à faire application de l'art. 31a al. 1 let. b LAsi, disposition selon laquelle il n'entre pas en matière sur une demande d'asile lorsque le requérant peut se rendre dans un Etat tiers compétent, en vertu d'un accord international, pour mener une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d'asile (cf. ATAF 2017 VI/7 consid. 2.1).</w:t>
      </w:r>
    </w:p>
    <w:p>
      <w:r>
        <w:rPr>
          <w:b/>
        </w:rPr>
        <w:t>E. 4.3</w:t>
      </w:r>
    </w:p>
    <w:p>
      <w:r>
        <w:t>Dans une procédure de reprise en charge, comme en l'espèce, il n'y a en principe aucun nouvel examen de la compétence selon le chapitre III (cf. ATAF 2017 VI/5 consid. 6.2 et 8.2.1 et réf. cit.).</w:t>
      </w:r>
    </w:p>
    <w:p>
      <w:r>
        <w:rPr>
          <w:b/>
        </w:rPr>
        <w:t>E. 5.1</w:t>
      </w:r>
    </w:p>
    <w:p>
      <w:r>
        <w:t>En l'espèce et comme déjà indiqué plus haut (cf. let. D supra), les autorités croates, dans le délai fixé par l'art. 25 par. 1 du règlement Dublin III, ont expressément accepté de reprendre en charge l'intéressée et ses enfants, précisant qu'elles allaient poursuivre le processus de détermination de leur responsabilité, sur la base de l'art. 20 par. 5 du règlement Dublin III (pour la portée de cette disposition, cf. notamment : arrêts du TAF F-6735/2023 du 7 décembre 2023 consid. 3 ; F-3303/2023 du 16 juin 2023 consid. 3.4).</w:t>
      </w:r>
    </w:p>
    <w:p>
      <w:r>
        <w:rPr>
          <w:b/>
        </w:rPr>
        <w:t>E. 5.2</w:t>
      </w:r>
    </w:p>
    <w:p>
      <w:r>
        <w:t>Dans la mesure où le dépôt par la recourante d'une demande d'asile en Croatie a été confirmé par les données enregistrées dans le système « Eurodac », sans qu'il n'y ait du reste de résultat positif (hit) « Eurodac » ailleurs, et où l'intéressée n'a pas allégué avoir quitté le territoire des Etats membres, ni obtenu de titre de séjour de la part d'un autre Etat membre dans l'intervalle, c'est à juste titre que le SEM s'est fondé sur cette dernière disposition pour admettre la compétence de la Croatie.</w:t>
      </w:r>
    </w:p>
    <w:p>
      <w:r>
        <w:rPr>
          <w:b/>
        </w:rPr>
        <w:t>E. 6</w:t>
      </w:r>
    </w:p>
    <w:p>
      <w:r>
        <w:t>Il reste ainsi à examiner si, en vertu de l'art. 3 par. 2 al. 2 règlement Dublin III, 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6.1</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6.2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Dans un récent arrêt de référence en lien avec la Croatie rendu à cinq juges et coordonné au sein des Cours IV, V et VI (cf. arrêt de référence du Tribunal E-1488/2020 du 22 mars 2023), le Tribunal a rappelé que, lors d'un transfert vers l'Etat responsable fondé sur le règlement Dublin III, le point principal à examiner consiste à déterminer si le requérant d'asile y a effectivement accès à une procédure d'asile, respectivement s'il a pu avoir accès à une telle procédure. Dans ce contexte, la question de savoir s'il lui a auparavant été extrêmement difficile d'atteindre le territoire croate n'est plus déterminante (cf. arrêt E-1488/2020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arrêt de référence précité, consid. 9.4.4). En conséquence, l'arrêt en question conclut qu'il n'existe pas à l'heure actuelle d'indices suffisants permettant de considérer que les personnes renvoyées - dans le cadre d'un transfert Dublin - en Croatie risquent d'être expulsées de manière illégale de ce pays, sans qu'une procédure d'asile ne soit ouverte et menée à terme. Il a dès lors été jugé d'autant moins probable que cela puisse se produire de manière systématique (cf. arrêt E-1488/2020 précité, consid. 9.4.4).</w:t>
      </w:r>
    </w:p>
    <w:p>
      <w:r>
        <w:rPr>
          <w:b/>
        </w:rPr>
        <w:t>E. 6.5</w:t>
      </w:r>
    </w:p>
    <w:p>
      <w:r>
        <w:t>Au vu de ce qui précède, il faut partir du principe que les requérants transférés en Croatie sur la base du règlement Dublin III ont accès à la procédure d'asile dans ce pays, et ce, indépendamment qu'il s'agisse d'un cas de prise ou de reprise en charge (cf. arrêt E-1488/2020 précité, consid. 9.4.4 in fine et consid. 9.5).</w:t>
      </w:r>
    </w:p>
    <w:p>
      <w:r>
        <w:rPr>
          <w:b/>
        </w:rPr>
        <w:t>E. 6.6</w:t>
      </w:r>
    </w:p>
    <w:p>
      <w:r>
        <w:t>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du règlement Dublin III ne saurait trouver application en l'espèce.</w:t>
      </w:r>
    </w:p>
    <w:p>
      <w:r>
        <w:rPr>
          <w:b/>
        </w:rPr>
        <w:t>E. 7</w:t>
      </w:r>
    </w:p>
    <w:p>
      <w:r>
        <w:t>Pour s'opposer à son transfert, l'intéressée sollicite encore l'application de la clause discrétionnaire prévue à l'art. 17 par. 1 règlement Dublin III (clause de souveraineté). Invoquant à cet égard également une violation des art. 3 et, implicitement, 8 CEDH ainsi que de l'art. 3 CCT et de l'art. 3 de la Convention du 20 novembre 1989 relative aux droits de l'enfant (CDE ; RS 0.107), la recourante fait, en substance, valoir qu'elle et ses enfants auraient été malmenés par les autorités croates. Par ailleurs, le transfert vers ce pays ne serait selon elle assorti d'aucune garantie quant à son accès à une procédure d'asile équitable et respectueuse du principe de non-refoulement. Finalement, elle invoque son état de santé précaire, ainsi que celui de ses enfants, marqués en particulier par leur parcours migratoire.</w:t>
      </w:r>
    </w:p>
    <w:p>
      <w:r>
        <w:rPr>
          <w:b/>
        </w:rPr>
        <w:t>E. 7.1</w:t>
      </w:r>
    </w:p>
    <w:p>
      <w:r>
        <w:t>En vertu de l'art. 17 par. 1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7.2</w:t>
      </w:r>
    </w:p>
    <w:p>
      <w:r>
        <w:t>Le retour forcé d'une personne touchée dans sa santé n'est, selon la jurisprudence de la Cour EDH (cf. arrêt Paposhvili c. Belgique [GC] du 13 décembre 2016, requête n° 41738/10 et arrêt Savran c. Danemark [GC]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7.3</w:t>
      </w:r>
    </w:p>
    <w:p>
      <w:r>
        <w:t>En l'occurrence, l'intéressée n'a pas démontré l'existence d'un risque concret que les autorités croates refuseraient de la reprendre en charge et de poursuivre l'examen de sa demande de protection en violation de la directive Procédure. Elle n'a, en particulier, fourni aucun élément concret susceptible de démontrer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En outre, la recourante, qui n'est restée que quelques jours en Croatie, n'a pas démontré ni même rendu vraisemblable que ses conditions d'existence dans ce pays ont revêtu, respectivement revêtiraient, un tel degré de pénibilité et de gravité qu'elles seraient constitutives d'un traitement contraire à l'art. 3 CEDH ou à l'art. 3 CCT. En particulier, elle n'a pas apporté d'éléments concrets de nature à corroborer le fait qu'elle aurait été personnellement soumise à de mauvais traitements, les allégations selon lesquelles elle aurait été malmenée par les autorités croates se limitant à de simples affirmations. De plus, il n'existe aucune raison concrète et sérieuse d'admettre que le transfert de la recourante et ses enfants en Croatie, organisé dans le cadre du règlement Dublin III, risquerait de les exposer à une situation similaire à celle qu'ils auraient connue après leur interpellation en zone frontalière en tant que personnes étrangères en situation irrégulière. Au demeurant, si après son transfert en Croatie l'intéressée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 Le Tribunal observe également - concernant la crainte de la recourante de voir la police croate s'en prendre de nouveau à ses enfants - que ce pays est un Etat de droit et que rien ne donne à penser que les autorités compétentes ne lui offriraient pas une protection adéquate, au cas où elle en ferait la demande. Cette dernière pourra donc sans autre s'adresser, une fois arrivée dans ce pays, aux autorités judiciaires en cas de besoin.</w:t>
      </w:r>
    </w:p>
    <w:p>
      <w:r>
        <w:rPr>
          <w:b/>
        </w:rPr>
        <w:t>E. 7.4</w:t>
      </w:r>
    </w:p>
    <w:p>
      <w:r>
        <w:t>S'agissant des problèmes de santé invoqués, il ressort des journaux de soins versés au dossier que l'intéressée souffre d'un état anxiodépressif, d'un syndrome de stress post traumatique et d'un potentiel trouble de la personnalité. Le rapport du 27 novembre 2023 fait également état d'envie d'automutilation sans passage à l'acte ni idées suicidaires actives. Au vu des troubles mentionnés, un traitement médicamenteux a été mis en place à base d'anti-dépresseurs et de somnifères ainsi qu'un suivi psychologique bimensuel, qui a été arrêté volontairement par la recourante le 20 décembre 2023. Quant aux enfants de cette dernière, ils souffrent pour l'un d'une otite moyenne sérieuse à gauche et de caries dentaires et pour l'autre d'une rhino-pharyngite sans signe de complication mais nécessitant un suivi ORL en raison d'antécédents d'opération en Turquie. Au vu de ce qui précède, il sied de constater que les problèmes qui affectent la santé des intéressés sans vouloir les minimiser ne sont pas d'une gravité telle, qu'ils permettraient compte tenu de la jurisprudence restrictive en la matière de conclure que ces derniers ne seraient pas aptes à voyager ou que leur transfert vers la Croatie les exposerait à un danger réel pour leur vie, respectivement leur santé (cf., à ce sujet, Cour EDH précités Paposhvili c. Belgique, par. 183 et Savran c. Danemark, par. 133). La situation des recourants, telle qu'elle ressort des documents médicaux produits, n'est pas révélatrice de maladie d'une gravité ou d'une spécificité telle qu'elle ne pourrait pas être traitée en Croatie (sur les possibilités de prise en charge médicale dans le domaine de l'asile en Croatie, cf. arrêt de référence précité consid. 10.2, ainsi que arrêts du TAF D-1418/2022 du 4 avril 2022 consid. 5.3.6 et D-1241/2022 du 25 mars 2022 p. 7). En tout état de cause, la Croatie, qui est liée par la directive Accueil et dispose de structures médicales suffisantes (cf. arrêts du TAF E-4583/2023 du 29 août 2023 ; F-4485/2022 du 24 août 2023 consid. 8.4),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le cas où l'intéressée devait avoir besoin de soins ou de traitements particuliers au moment de son transfert vers la Croatie, il lui appartiendra d'en informer les autorités suisses chargées de l'exécution de cette mesure ; le cas échéant, il incombera à ces autorités de transmettre, sous une forme appropriée, aux autorités croates les renseignements permettant une éventuelle prise en charge médicale spécifique (art. 31 et 32 du règlement Dublin III). Dans ces conditions, c'est à juste titre que le SEM a retenu que les problèmes de santé allégués n'apparaissaient pas d'une gravité telle que le transfert des intéressés en Croatie serait illicite au sens restrictif de la jurisprudence précitée.</w:t>
      </w:r>
    </w:p>
    <w:p>
      <w:r>
        <w:rPr>
          <w:b/>
        </w:rPr>
        <w:t>E. 7.5</w:t>
      </w:r>
    </w:p>
    <w:p>
      <w:r>
        <w:t>S'agissant du grief tiré de l'illicéité du transfert au vu de l'art. 3 CDE invoqué par la recourante, le Tribunal constate que les enfants de cette dernière seront transférés en Croatie avec leur mère, qui assurera leur prise en charge et leur apportera le soutien nécessaire. En outre, l'art. 3 CDE n'impose pas aux autorités de donner suite au souhait des parents de voir leur demande d'asile examinée par l'Etat offrant, à leur avis, les meilleures conditions d'accueil pour leurs enfants (cf. arrêts du TAF E-968/2017 du 27 février 2017 p. 8 ; F-4998/2922 du 9 novembre 2022 consid. 7.5). Le transfert ne se révèle ainsi pas contraire à l'intérêt supérieur des enfants (cf. arrêt du TAF E-711/2021 du 11 mars 2021 consid. 6).</w:t>
      </w:r>
    </w:p>
    <w:p>
      <w:r>
        <w:rPr>
          <w:b/>
        </w:rPr>
        <w:t>E. 7.6</w:t>
      </w:r>
    </w:p>
    <w:p>
      <w:r>
        <w:t>Finalement, le transfert des recourants vers la Croatie n'est, en outre, pas susceptible de porter atteinte à l'art. 8 CEDH, disposition qui protège la vie familiale. En effet, il ne ressort pas du dossier de la cause - et l'intéressée ne le prétend d'ailleurs pas - qu'un lien de dépendance particulier (cf. ATF 139 II 393 consid. 5.1) l'unirait au membre de sa famille non-nucléaire présent en Suisse, soit sa tante en l'espèce. C'est ici le lieu de rappeler que les oncles/tantes ne sont pas des « membres de la famille » au sens du règlement Dublin III, et en particulier de son art. 10 (cf. art. 2 let. g du règlement Dublin III).</w:t>
      </w:r>
    </w:p>
    <w:p>
      <w:r>
        <w:rPr>
          <w:b/>
        </w:rPr>
        <w:t>E. 7.7</w:t>
      </w:r>
    </w:p>
    <w:p>
      <w:r>
        <w:t>Par conséquent, le transfert des intéressés vers la Croatie n'est pas contraire aux obligations découlant des dispositions conventionnelles auxquelles la Suisse est liée.</w:t>
      </w:r>
    </w:p>
    <w:p>
      <w:r>
        <w:rPr>
          <w:b/>
        </w:rPr>
        <w:t>E. 7.8</w:t>
      </w:r>
    </w:p>
    <w:p>
      <w:r>
        <w:t>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8</w:t>
      </w:r>
    </w:p>
    <w:p>
      <w:r>
        <w:t>C'est ainsi à bon droit que l'autorité inférieure n'est pas entrée en matière sur la demande d'asile de l'intéressée et de ses enfants, en application de l'art. 31a al. 1 let. b LAsi, et a prononcé leur transfert de la Suisse vers la Croatie, en application de l'art. 44 LAsi, aucune exception à la règle générale du renvoi n'étant réalisée (art. 32 OA 1). Par conséquent, le recours doit être rejeté.</w:t>
      </w:r>
    </w:p>
    <w:p>
      <w:r>
        <w:rPr>
          <w:b/>
        </w:rPr>
        <w:t>E. 9</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10</w:t>
      </w:r>
    </w:p>
    <w:p>
      <w:r>
        <w:t>En outre, dans la mesure où il a été immédiatement statué sur le fond, les requêtes formulées dans le mémoire de recours tendant à l'octroi de l'effet suspensif et à la dispense du versement d'une avance de frais sont devenues sans objet. Les conclusions du recours étant d'emblée vouées à l'échec, la requête d'assistance judiciaire partielle doit être rejetée.</w:t>
      </w:r>
    </w:p>
    <w:p>
      <w:r>
        <w:rPr>
          <w:b/>
        </w:rPr>
        <w:t>E. 11</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