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F-386/2018 vom 23. August 2019</w:t>
      </w:r>
    </w:p>
    <w:p>
      <w:r>
        <w:t>Bundesverwaltungsgericht, 2019-08-23, DE</w:t>
      </w:r>
    </w:p>
    <w:p>
      <w:r>
        <w:rPr>
          <w:b/>
        </w:rPr>
        <w:t xml:space="preserve">Quelle: </w:t>
      </w:r>
      <w:r>
        <w:t>https://mcp.opencaselaw.ch/entscheid/bvger_F-386_2018</w:t>
      </w:r>
    </w:p>
    <w:p>
      <w:r>
        <w:t>FR: TAF F-386/2018 du 23 août 2019</w:t>
      </w:r>
    </w:p>
    <w:p>
      <w:r>
        <w:t>IT: TAF F-386/2018 del 23 agosto 2019</w:t>
      </w:r>
    </w:p>
    <w:p>
      <w:pPr>
        <w:pStyle w:val="Heading2"/>
      </w:pPr>
      <w:r>
        <w:t>Regeste</w:t>
      </w:r>
    </w:p>
    <w:p>
      <w:r>
        <w:t>Reisedokumente für ausländische Personen (Übriges)</w:t>
      </w:r>
    </w:p>
    <w:p>
      <w:pPr>
        <w:pStyle w:val="Heading2"/>
      </w:pPr>
      <w:r>
        <w:t>Erwägungen</w:t>
      </w:r>
    </w:p>
    <w:p>
      <w:r>
        <w:rPr>
          <w:b/>
        </w:rPr>
        <w:t>E. 1.1</w:t>
      </w:r>
    </w:p>
    <w:p>
      <w:r>
        <w:t>Verfügungen der Vorinstanz, welche die Ausstellung von Reisedokumenten für ausländische Personen betreffen, sind mit Beschwerde beim Bundesverwaltungsgericht anfechtbar (Art. 31 ff. VGG i.V.m. Art. 5 VwVG). Dieses entscheidet in der vorliegenden Materie endgültig (Art. 83 Bst. c Ziff. 6 BGG).</w:t>
      </w:r>
    </w:p>
    <w:p>
      <w:r>
        <w:rPr>
          <w:b/>
        </w:rPr>
        <w:t>E. 1.2</w:t>
      </w:r>
    </w:p>
    <w:p>
      <w:r>
        <w:t>Das Rechtsmittelverfahren vor dem Bundesverwaltungsgericht richtet sich nach dem VwVG, soweit das Gesetz nichts anderes bestimmt (Art. 37 VGG).</w:t>
      </w:r>
    </w:p>
    <w:p>
      <w:r>
        <w:rPr>
          <w:b/>
        </w:rPr>
        <w:t>E. 1.3</w:t>
      </w:r>
    </w:p>
    <w:p>
      <w:r>
        <w:t>Der Beschwerdeführer ist als Verfügungsadressat zur Beschwerde legitimiert (Art. 48 Abs. 1 VwVG). Auf die frist- und formgerecht eingereichte Rechtsmittel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Die Ausstellung bzw. Verweigerung von Reisedokumenten an schriftenlose ausländische Personen hat ihre gesetzliche Grundlage in Art. 59 des Ausländer- und Integrationsgesetzes (AIG, SR 142.20). Dieser ist inhaltlich identisch mit Art. 59 des Ausländergesetzes (AuG), welches auf den 1. Januar 2019 hin eine namentliche und inhaltliche Anpassung erfuhr. Absatz 2 definiert die Anspruchsberechtigten. Zu ihnen gehören unter anderem ausländische Personen, welche gemäss dem Abkommen vom 28. Juli 1951 über die Rechtsstellung der Flüchtlinge die Flüchtlingseigenschaft erfüllen (Bst. a), welche gemäss dem Übereinkommen vom 28. September 1954 über die Rechtsstellung der Staatenlosen als staatenlos anerkannt sind, sowie solche, die schriftenlos sind und eine Niederlassungsbewilligung haben (Bst. c).</w:t>
      </w:r>
    </w:p>
    <w:p>
      <w:r>
        <w:rPr>
          <w:b/>
        </w:rPr>
        <w:t>E. 3.2</w:t>
      </w:r>
    </w:p>
    <w:p>
      <w:r>
        <w:t>Der Beschwerdeführer fällt allerdings unter keine der genannten Kategorien und hat somit keinen Anspruch auf Erhalt eines schweizerischen Reisepapiers. Da er über eine hiesige Aufenthaltsbewilligung verfügt, könnte ihm jedoch im Rahmen des Ermessens ein Pass für eine ausländische Person abgeben werden. Voraussetzung dafür wäre seine Schriftenlosigkeit (vgl. Art. 59 Abs. 1 AIG i.V.m. Art. 4 Abs. 2 Bst. a RDV). Diese sieht die Vorinstanz als nicht gegeben an.</w:t>
      </w:r>
    </w:p>
    <w:p>
      <w:r>
        <w:rPr>
          <w:b/>
        </w:rPr>
        <w:t>E. 3.3</w:t>
      </w:r>
    </w:p>
    <w:p>
      <w:r>
        <w:t>Gemäss Art. 10 Abs. 1 RDV gilt als schriftenlos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w:t>
      </w:r>
    </w:p>
    <w:p>
      <w:r>
        <w:rPr>
          <w:b/>
        </w:rPr>
        <w:t>E. 3.4</w:t>
      </w:r>
    </w:p>
    <w:p>
      <w:r>
        <w:t>Vom Beschwerdeführer, weder asylsuchend noch schutzbedürftig, kann verlangt werden, dass er mit seinen Heimatbehörden Kontakt aufnimmt (vgl. Art. 10 Abs. 2 RDV). Er selbst, der sich offenbar wiederholt bei der irakischen Botschaft in Bern um ein Reisedokument bemüht hat, erhebt dagegen keine Einwände, sondern hält lediglich eine Reise in den Irak für unzumutbar. Letzteres hat auch die Vorinstanz in ihrer Vernehmlassung eingeräumt. Somit geht es im vorliegenden Fall lediglich darum, ob der Beschwerdeführer ohne persönliche Vorsprache im Irak die für die Ausstellung eines irakischen Passes benötigten Dokumente erhalten kann oder ob dies - und damit auch der Passerhalt - unmöglich ist.</w:t>
      </w:r>
    </w:p>
    <w:p>
      <w:r>
        <w:rPr>
          <w:b/>
        </w:rPr>
        <w:t>E. 4.1</w:t>
      </w:r>
    </w:p>
    <w:p>
      <w:r>
        <w:t>Die Verfügung geht davon aus, dass sich der Beschwerdeführer bei der irakischen Botschaft in Bern einen Pass beschaffen kann und auch die dafür benötigten Dokumente - Identitätskarte und Nationalitätsausweis - nicht in seinem Heimatland besorgen muss.</w:t>
      </w:r>
    </w:p>
    <w:p>
      <w:r>
        <w:rPr>
          <w:b/>
        </w:rPr>
        <w:t>E. 4.2</w:t>
      </w:r>
    </w:p>
    <w:p>
      <w:r>
        <w:t>In ihrer Vernehmlassung vom 1. März 2018 korrigiert die Vorinstanz ihren Standpunkt unter Hinweis auf die aktuellsten Abklärungen vom Januar 2018. Sie führt aus, dass irakischen Staatsbürgern neuerdings nur nach persönlicher Vorsprache im Heimatland Identitätskarten ausgestellt würden, dass aber gemäss Auskunft der irakischen Vertretung in Bern davon Ausnahmen gemacht werden könnten. Insofern geht das SEM davon aus, dass der Beschwerdeführer die Möglichkeiten zum Erhalt der benötigten Dokumente noch nicht ausgeschöpft hat.</w:t>
      </w:r>
    </w:p>
    <w:p>
      <w:r>
        <w:rPr>
          <w:b/>
        </w:rPr>
        <w:t>E. 4.3</w:t>
      </w:r>
    </w:p>
    <w:p>
      <w:r>
        <w:t>Gegen diese Schlussfolgerung wehrt sich der Beschwerdeführer zum einen mit der Behauptung, dass die Verfügung in ihrer Begründung widersprüchlich sei und daher gegen Treu und Glauben verstosse, zum anderen mit dem Einwand, dass die Verfügung unter Verletzung des rechtlichen Gehörs erlassen worden sei. Beides trifft jedoch nicht zu.</w:t>
      </w:r>
    </w:p>
    <w:p>
      <w:r>
        <w:rPr>
          <w:b/>
        </w:rPr>
        <w:t>E. 4.3.1</w:t>
      </w:r>
    </w:p>
    <w:p>
      <w:r>
        <w:t>Was die Widersprüchlichkeit angeht, so unterstellt der Beschwerdeführer der Vorinstanz, die botschaftliche Bestätigung vom 26. April 2017 als Beleg für die Unmöglichkeit der hiesigen Beschaffung von Nationalitätsausweis und Identitätskarte anerkannt zu haben. Zu diesem Punkt hat die Vorinstanz jedoch lediglich ausgeführt, dass der Beschwerdeführer seine Behauptungen mit der erwähnten Bestätigung belegen könne. Insofern ist der Beweisgegenstand ein anderer.</w:t>
      </w:r>
    </w:p>
    <w:p>
      <w:r>
        <w:rPr>
          <w:b/>
        </w:rPr>
        <w:t>E. 4.3.2</w:t>
      </w:r>
    </w:p>
    <w:p>
      <w:r>
        <w:t>Auch die vom Beschwerdeführer behauptete Gehörsverletzung beruht auf einer Fehlinterpretation. Zwar hat die Vorinstanz angesichts der von ihr bejahten Möglichkeit der heimatlichen Papierbeschaffung tatsächlich - was der Beschwerdeführer beanstandet - erwähnt, dass für das behauptete Gegenteil eine Erklärung erbracht werden müsse. Dabei handelt es sich jedoch um keinen neuen Sachverhalt oder Entscheidungsgrund, welcher ihm vorab hätte unterbreitet werden müssen, sondern lediglich um den Hinweis auf verfahrensimmanente Mitwirkungspflichten und -rechte, welche auch die Beweisbeschaffung beinhalten (vgl. dazu Patrick Sutter in: Auer, Müller, Schindler, 2. Aufl. 2019, Art. 29 VwVG N 3 sowie Christoph Auer/Martina Binder, a.a.O, Art. 13 N 17 und N 30). Dass der Beschwerdeführer seine bisherigen erfolglosen Bemühungen bei der irakischen Botschaft in Bern als ausreichend ansieht, berührt die Frage der von ihm behaupteten Gehörsverletzung nicht.</w:t>
      </w:r>
    </w:p>
    <w:p>
      <w:r>
        <w:rPr>
          <w:b/>
        </w:rPr>
        <w:t>E. 5.1</w:t>
      </w:r>
    </w:p>
    <w:p>
      <w:r>
        <w:t>Angesichts des Umstands, dass die vom Beschwerdeführer erhobenen formellen Rügen nicht zu berücksichtigen sind, ist die Frage nach der Schriftenlosigkeit weiterhin klärungsbedürftig. Auszugehen ist dabei vom zuletzt vertretenen Standpunkt der Vorinstanz, der Beschwerdeführer müsse sich zwecks Erhalt einer Identitätskarte bei der irakischen Botschaft in Bern um eine Ausnahme vom persönlichen Erscheinen im Irak bemühen.</w:t>
      </w:r>
    </w:p>
    <w:p>
      <w:r>
        <w:rPr>
          <w:b/>
        </w:rPr>
        <w:t>E. 5.2</w:t>
      </w:r>
    </w:p>
    <w:p>
      <w:r>
        <w:t>Die langjährigen Probleme, welche die in der Schweiz lebenden irakischen Staatsangehörigen bei der Beschaffung heimatlicher Reisedokumente haben, sind gerichtsnotorisch und wurden bereits in einem grundlegenden Urteil vom 27. August 2014 (BVGE 2014/23) chronologisch aufgezeigt. Dieser Chronologie zufolge galten irakische Staatsangehörigen bis Ende 2004 als schriftenlos; danach konnten sie sich ab 2005 vorübergehend irakische Reisepapiere über ihre Vertretung in Bern beschaffen. Anschliessend führten dortige administrative und technische Umstellungen jedoch dazu, dass der Erhalt neuer Pässe gar nicht bzw. nur unter grossen Schwierigkeiten ermöglicht wurde. So scheiterte die zwischenzeitlich in Aussicht gestellte Passbeschaffung durch die irakische Botschaft in Paris oftmals daran, dass die Ausstellung der dafür benötigten Unterlagen durch die Vertretung in Bern erheblich verzögert wurde, oder auch daran, dass die Betroffenen an der Grenze zu Frankreich zurückgewiesen bzw. festgenommen wurden. Anlässlich eines Treffens des damaligen Bundesamtes für Migration (BFM; heute SEM) mit der irakischen Botschaft anfangs 2012 wurde zwar zugesichert, dass ab Mai 2012 in Bern flächendeckend irakische Pässe ausgestellt würden; diese Zusicherung wurde jedoch beim nächste Treffen im Februar 2014 wieder zurückgezogen (zu Vorstehendem: E. 5.3 - 5.4).</w:t>
      </w:r>
    </w:p>
    <w:p>
      <w:r>
        <w:rPr>
          <w:b/>
        </w:rPr>
        <w:t>E. 5.3</w:t>
      </w:r>
    </w:p>
    <w:p>
      <w:r>
        <w:t>Die Situation von irakischen Staatsangehörigen, welche sich bei ihren Heimatbehörden um Pässe oder Identitätsausweise bemühen, hat sich seither nicht verbessert und ist geprägt von wechselnden Zuständigkeiten. So geht die Vorinstanz, insofern abweichend von ihrer Verfügung, in ihrer Vernehmlassung vom 1. März 2018 davon aus, dass der Beschwerdeführer von der irakischen Botschaft in Bern ohne weiteres einen Pass, jedoch nur ausnahmsweise auch die dafür erforderliche - weil prinzipiell nur im Irak ausstellbare - Identitätskarte erhalten kann. Diese Sachlage, welche die Vorinstanz auf die aktuellsten Abklärungen des SEM vom Januar 2018 stützt, war im Zeitpunkt der Vernehmlassung jedoch bereits überholt, denn laut einer neueren Auskunft der irakischen Botschaft in Bern vom 11. Februar 2018 haben die in der Schweiz lebenden irakischen Staatsangehörigen ihre Anträge auf Passausstellung beim irakischen Konsulat in Frankfurt einzureichen (vgl. Urteile des BVGer F- 499/2018 vom 23. Mai 2019 und F-6630/2017 vom 20. September 2018, jeweils E. 5.4).</w:t>
      </w:r>
    </w:p>
    <w:p>
      <w:r>
        <w:rPr>
          <w:b/>
        </w:rPr>
        <w:t>E. 5.4</w:t>
      </w:r>
    </w:p>
    <w:p>
      <w:r>
        <w:t>Vor diesem Hintergrund ist fraglich, ob der von der Vorinstanz vertretene Standpunkt weiterhin aufrechterhalten werden kann. Trotz der anscheinend mündlich zugesicherten Möglichkeit von Ausnahmen ist nämlich nicht erklärbar, wie der Beschwerdeführer in den Besitz einer mit biometrischen Daten versehenen Identitätskarte gelangen soll, denn nachweislich verfügt die irakische Botschaft in Bern über keine Biometriestation (vgl. (BVGE 2014/23 E. 5.3.8). Folglich hat die Vorinstanz aufzuzeigen, wo und wie der Beschwerdeführer, dem eine Reise in den Irak nicht zuzumuten ist, einen irakischen Pass sowie die dafür benötigten Dokumente erhältlich machen kann. Die Beantwortung der Frage nach der Schriftenlosigkeit des Beschwerdeführers ist erst im Anschluss daran möglich; in die entsprechenden Überlegungen miteinzubeziehen sind sowohl die durch die irakischen Behörden verursachten Verzögerungen als auch die Einschränkungen des Privat- und Familienlebens, welche zusammen betrachtet einen Eingriff in fremde Passhoheit rechtfertigen könnten (vgl. BVGE 2014/23 E. 5.5 und 5.9).</w:t>
      </w:r>
    </w:p>
    <w:p>
      <w:r>
        <w:rPr>
          <w:b/>
        </w:rPr>
        <w:t>E. 6</w:t>
      </w:r>
    </w:p>
    <w:p>
      <w:r>
        <w:t>Die angefochtene Verfügung vom 8. Dezember 2019 ist folglich aufzuheben und die Sache zur vollständigen Sachverhaltsabklärung sowie zu neuem Entscheid an die Vorinstanz zurückzuweisen.</w:t>
      </w:r>
    </w:p>
    <w:p>
      <w:r>
        <w:rPr>
          <w:b/>
        </w:rPr>
        <w:t>E. 7</w:t>
      </w:r>
    </w:p>
    <w:p>
      <w:r>
        <w:t>Bei diesem Ausgang des Verfahrens sind keine Kosten aufzuerlegen (vgl. Art. 63 Abs. 1 und Abs. 2 VwVG). Dem Beschwerdeführer ist für die ihm im Verfahren vor dem Bundesverwaltungsgericht erwachsenen notwendigen und verhältnismässig hohen Kosten eine Parteientschädigung zuzusprechen (Art. 64 Abs. 1 und Abs. 2 VwVG i.V.m. Art. 7 Abs. 1 und Art. 8 des Reglements vom 21. Februar 2008 über die Kosten und Entschädigungen vor dem Bundesverwaltungsgericht [VGKE, SR 173.320.2]). Diese ist entsprechend der eingereichten Honorarnote auf Fr. 2'441.30 festzusetzen. Das Gesuch des Beschwerdeführers um unentgeltliche Prozessführung und Verbeiständung wird angesichts dessen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