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F-3861/2023 vom 30. November 2023</w:t>
      </w:r>
    </w:p>
    <w:p>
      <w:r>
        <w:t>Bundesverwaltungsgericht, 2023-11-30, FR</w:t>
      </w:r>
    </w:p>
    <w:p>
      <w:r>
        <w:rPr>
          <w:b/>
        </w:rPr>
        <w:t xml:space="preserve">Quelle: </w:t>
      </w:r>
      <w:r>
        <w:t>https://mcp.opencaselaw.ch/entscheid/bvger_F-3861_2023</w:t>
      </w:r>
    </w:p>
    <w:p>
      <w:r>
        <w:t>FR: TAF F-3861/2023 du 30 novembre 2023</w:t>
      </w:r>
    </w:p>
    <w:p>
      <w:r>
        <w:t>IT: TAF F-3861/2023 del 30 novembre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A titre liminaire, il convient d'examiner les griefs formels soulevés par le recourant.</w:t>
      </w:r>
    </w:p>
    <w:p>
      <w:r>
        <w:rPr>
          <w:b/>
        </w:rPr>
        <w:t>E. 2.1</w:t>
      </w:r>
    </w:p>
    <w:p>
      <w:r>
        <w:t>Celui-ci reproche essentiellement au SEM un manquement à son devoir d'instruction en lien, d'une part, avec les mauvais traitements dont il a allégué avoir été victime en Croatie et, d'autre part, avec son état de santé. Cela aurait conduit à une constatation incomplète des faits pertinents et, partant, à une motivation déficiente de la décision attaquée.</w:t>
      </w:r>
    </w:p>
    <w:p>
      <w:r>
        <w:rPr>
          <w:b/>
        </w:rPr>
        <w:t>E. 2.2.1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2.2.2</w:t>
      </w:r>
    </w:p>
    <w:p>
      <w:r>
        <w:t>L'autorité a également le devoir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2.2.3</w:t>
      </w:r>
    </w:p>
    <w:p>
      <w:r>
        <w:t>En l'espèce, s'agissant d'abord des maltraitances qui auraient été infligées au recourant en Croatie, il convient de rappeler que lors de son entretien Dublin, ce dernier a été interrogé sur les motifs qui s'opposaient éventuellement à son transfert vers ce pays. Il a ainsi pu faire part de ce qu'il y avait vécu et des raisons excluant, selon lui, une telle mesure. Le recourant n'a pas apporté, par la suite, de précisions, de compléments ou de rectifications par rapport à ses déclarations (telles qu'elles ont été retranscrites par le SEM), alors qu'il en aurait eu la possibilité jusqu'au prononcé, six semaines plus tard, de la décision querellée, dans laquelle les mauvais traitements allégués ont, du reste, été pris en compte. Dans ce contexte, l'intéressé est malvenu de faire grief au SEM d'avoir insuffisamment instruit ses allégations et d'avoir ainsi violé la maxime inquisitoire.</w:t>
      </w:r>
    </w:p>
    <w:p>
      <w:r>
        <w:rPr>
          <w:b/>
        </w:rPr>
        <w:t>E. 2.2.4</w:t>
      </w:r>
    </w:p>
    <w:p>
      <w:r>
        <w:t>S'agissant des reproches du recourant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Il ne peut donc pas être reproché à l'autorité inférieure de ne pas avoir approfondi cette question. Pour le surplus, les arguments de l'intéressé relatifs à la situation en Croatie relèvent du fond et seront en conséquence examinés ci-après.</w:t>
      </w:r>
    </w:p>
    <w:p>
      <w:r>
        <w:rPr>
          <w:b/>
        </w:rPr>
        <w:t>E. 2.2.5</w:t>
      </w:r>
    </w:p>
    <w:p>
      <w:r>
        <w:t>Quant à l'instruction relative à l'état de santé du recourant, le Tribunal constate que dans la décision attaquée, le SEM a pris en compte les déclarations ainsi que les pièces médicales fournies (le journal de soins du 17 mai 2023 et le « document médical de transmission » du 20 juin 2023 des Etablissements hospitaliers du Nord Vaudois). En outre, le Tribunal relève que, durant la procédure devant le SEM, l'intéressé disposait, dans le cadre de l'art. 8 LAsi, de la possibilité de produire toute autre pièce médicale mais qu'il n'a fourni aucun document complémentaire. Partant, l'état de santé de l'intéressé étant connu et rien n'imposait au SEM d'investiguer ce point de manière plus approfondie.</w:t>
      </w:r>
    </w:p>
    <w:p>
      <w:r>
        <w:rPr>
          <w:b/>
        </w:rPr>
        <w:t>E. 2.2.6</w:t>
      </w:r>
    </w:p>
    <w:p>
      <w:r>
        <w:t>Enfin, concernant de la motivation de la décision litigieuse, le Tribunal constate qu'elle satisfait aux exigences posées par la jurisprudence citée ci-dessus. En particulier, il est d'emblée possible de comprendre sur quels motifs l'autorité inférieure s'est fondée pour statuer, le SEM ayant dûment mentionné les éléments qui ont guidé son raisonnement.</w:t>
      </w:r>
    </w:p>
    <w:p>
      <w:r>
        <w:rPr>
          <w:b/>
        </w:rPr>
        <w:t>E. 2.2.7</w:t>
      </w:r>
    </w:p>
    <w:p>
      <w:r>
        <w:t>Dans ces circonstances, aucune violation de la maxime inquisitoire et de l'obligation de motiver ne saurait être retenue.</w:t>
      </w:r>
    </w:p>
    <w:p>
      <w:r>
        <w:rPr>
          <w:b/>
        </w:rPr>
        <w:t>E. 2.3.1</w:t>
      </w:r>
    </w:p>
    <w:p>
      <w:r>
        <w:t>En l'espèce, l'entretien Dublin de l'intéressé a été mené le 4 mai 2023 entre 9h15 et 10h25 à distance. Le chargé d'audition se trouvait au siège du SEM (Berne-Wabern) et le requérant d'asile et son représentant juridique au CFA de Boudry. L'interprète communiquait par téléphone. Le recourant a été questionné sur son parcours migratoire et sur la compétence potentielle de la Bulgarie et de la Croatie de mener sa procédure d'asile ; il a également pu se prononcer sur son transfert éventuel vers l'un de ces Etats. Dans une réponse détaillée, comme cela ressort du procès-verbal établi le 4 mai 2023, il a décrit précisément sa route vers la Suisse ainsi que les évènements vécus en Turquie, en Bulgarie et en Croatie. A aucun moment, il n'a prétendu rencontrer des problèmes de compréhension, ni par rapport aux informations qui lui ont été transmises ni quant aux questions posées, auxquelles il a d'ailleurs répondu de manière cohérente. Ni le recourant ni son représentant légal n'a ainsi aucunement fait valoir que les conditions d'audition auraient rendu difficile voire impossible sa communication et l'exposé de ses motifs. Au terme de cet entretien, il a du reste confirmé avoir pu s'exprimer librement. De même, au stade du recours, l'intéressé n'a pas allégué n'avoir pas eu l'occasion de se déterminer librement sur son sort ou d'exposer les faits relatifs à sa situation personnelle. Il a uniquement contesté le fait d'avoir été interrogé à distance sans indiquer en quoi précisément cette manière de procéder lui aurait porté préjudice : « Il appartenait ainsi à l'intimé de procéder à un entretien en présentiel qui permette au recourant de préciser et d'étayer ses allégations de fait sur la situation en Croatie, en consignant ses déclarations, de sorte que l'intéressé puisse, le cas échéant, se défendre valablement et que le Tribunal soit en mesure d'exercer son contrôle dans une éventuelle procédure de recours ». Enfin, si au stade du recours il a certes développé et complété certaines de ses allégations, force est de constater qu'il n'a pas fait valoir des faits entièrement nouveaux qu'il n'aurait pas pu exposer en raison du mode de son audition.</w:t>
      </w:r>
    </w:p>
    <w:p>
      <w:r>
        <w:rPr>
          <w:b/>
        </w:rPr>
        <w:t>E. 2.3.2</w:t>
      </w:r>
    </w:p>
    <w:p>
      <w:r>
        <w:t>Dans ces circonstances, aucune violation des garanties relatives au déroulement d'un entretien individuel Dublin au sens de l'art. 5 du règlement Dublin III, voire de dispositions générales sur le droit d'être entendu, ci-dessus mentionnées ne saurait être retenue. Partant, le grief est rejeté.</w:t>
      </w:r>
    </w:p>
    <w:p>
      <w:r>
        <w:rPr>
          <w:b/>
        </w:rPr>
        <w:t>E. 2.3.3</w:t>
      </w:r>
    </w:p>
    <w:p>
      <w:r>
        <w:t>Conformément à l'art. 5 par. 1 du règlement Dublin III, l'entretien individuel doit permettre non seulement de faciliter le processus de détermination de l'Etat membre responsable mais aussi de veiller à ce que le demandeur comprenne correctement les informations qui lui sont fournies, conformément à l'art. 4 du règlement Dublin III. Cet entretien est mené dans une langue que le requérant comprend ou dont on peut raisonnablement supposer qu'il la comprend et dans laquelle il est capable de communiquer. Si nécessaire, les Etats membres ont recours à un interprète capable d'assurer une bonne communication entre le demandeur et la personne qui mène l'entretien individuel (art. 5 par. 4 RD III). L'entretien individuel a lieu dans des conditions garantissant dûment la confidentialité et il est mené par une personne qualifiée en vertu du droit national (art. 5 par. 5 RD III).</w:t>
      </w:r>
    </w:p>
    <w:p>
      <w:r>
        <w:rPr>
          <w:b/>
        </w:rPr>
        <w:t>E. 2.4</w:t>
      </w:r>
    </w:p>
    <w:p>
      <w:r>
        <w:t>Compte tenu de ce qui précède, il y a lieu de constater que la décision attaquée n'est entachée d'aucune irrégularité formelle.</w:t>
      </w:r>
    </w:p>
    <w:p>
      <w:r>
        <w:rPr>
          <w:b/>
        </w:rPr>
        <w:t>E. 3</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 comme en l'espèce - il n'y a en principe aucun nouvel examen de la compétence selon le chapitre III (cf. ATAF 2017 VI/5 consid. 6.2 et 8.2.1, et réf. cit.).</w:t>
      </w:r>
    </w:p>
    <w:p>
      <w:r>
        <w:rPr>
          <w:b/>
        </w:rPr>
        <w:t>E. 3.4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w:t>
      </w:r>
    </w:p>
    <w:p>
      <w:r>
        <w:rPr>
          <w:b/>
        </w:rPr>
        <w:t>E. 4.1</w:t>
      </w:r>
    </w:p>
    <w:p>
      <w:r>
        <w:t>En l'occurrence, les investigations entreprises par le SEM ont révélé que le recourant avait déposé une demande d'asile en Croatie le 17 avril 2023. Le 8 mai 2023, le SEM a dès lors soumis aux autorités croates, dans les délais fixés aux art. 23 par. 2 et art. 24 par. 2 du règlement Dublin III, une requête aux fins de reprise en charge fondée sur l'art. 18 par. 1 let. b du règlement Dublin III.</w:t>
      </w:r>
    </w:p>
    <w:p>
      <w:r>
        <w:rPr>
          <w:b/>
        </w:rPr>
        <w:t>E. 4.2</w:t>
      </w:r>
    </w:p>
    <w:p>
      <w:r>
        <w:t>Le 19 mai 2023, les autorités croates ont expressément accepté de reprendre en charge le recourant,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La Croatie a dès lors reconnu sa responsabilité pour mener la procédure d'asile de l'intéressé, ce qui n'est d'ailleurs pas contesté.</w:t>
      </w:r>
    </w:p>
    <w:p>
      <w:r>
        <w:rPr>
          <w:b/>
        </w:rPr>
        <w:t>E. 5.1</w:t>
      </w:r>
    </w:p>
    <w:p>
      <w:r>
        <w:t>Au vu de l'art. 3 par. 2 du règlement Dublin III, il y a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5.2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risquent-elles d'être exposées, à la suite du dépôt d'une demande d'asile, à un risque accru d'expulsion du territoire croate avant la mise en oeuvre d'une procédure d'asile (cf. arrêt de référence précité consid. 9.4.4 in fine).</w:t>
      </w:r>
    </w:p>
    <w:p>
      <w:r>
        <w:rPr>
          <w:b/>
        </w:rPr>
        <w:t>E. 5.6</w:t>
      </w:r>
    </w:p>
    <w:p>
      <w:r>
        <w:t>Au vu de ce qui précède, il y a lieu de considérer que les requérants transférés en Croatie en vertu du règlement Dublin III peuvent effectivement accéder à la procédure d'asile, à condition toutefois d'y déposer une telle demande.</w:t>
      </w:r>
    </w:p>
    <w:p>
      <w:r>
        <w:rPr>
          <w:b/>
        </w:rPr>
        <w:t>E. 5.7</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6.1</w:t>
      </w:r>
    </w:p>
    <w:p>
      <w:r>
        <w:t>Pour s'opposer à son transfert, l'intéressé fait valoir qu'il aurait été victime de maltraitances physiques et psychiques de la part des autorités croates provoquant une atteinte grave à son intégrité corporelle et fondant une crainte réelle pour sa vie. Il aurait été frappé à plusieurs reprises, aspergé d'eau froide et jeté dans une rivière, puis, alors qu'il était affaibli, il n'aurait reçu aucune assistance, contrairement au devoir de diligence des autorités croates envers les personnes vulnérables. Par ailleurs, son transfert vers la Croatie ne serait assorti d'aucune garantie quant à l'accès à une procédure d'asile équitable et lui garantissant des voies de recours effectives. Le recourant a enfin indiqué que son état de santé précaire s'opposerait à son transfert. Sur la base de ces arguments, il a sollicité l'application de la clause discrétionnaire prévue à l'art. 17 par. 1 règlement Dublin III (clause de souveraineté).</w:t>
      </w:r>
    </w:p>
    <w:p>
      <w:r>
        <w:rPr>
          <w:b/>
        </w:rPr>
        <w:t>E. 6.2</w:t>
      </w:r>
    </w:p>
    <w:p>
      <w:r>
        <w:t>En vertu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6.3.1</w:t>
      </w:r>
    </w:p>
    <w:p>
      <w:r>
        <w:t>En l'occurrence, l'intéressé n'a fourni aucun élément concret susceptible d'établir que les autorités croates refuseraient de le reprendre en charge et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6.3.2</w:t>
      </w:r>
    </w:p>
    <w:p>
      <w:r>
        <w:t>Si l'intéressé a certes exposé que les conditions d'accueil en Croatie avaient été désastreuses et que la police l'avait maltraité, son récit manque de crédibilité, ce d'autant plus que son séjour en Croatie n'a pas dépassé quelques jours (4 à 6 jours, selon ses déclarations). Quoi qu'il en soit, le recourant n'a pas démontré que les conditions d'accueil dans ce pays revêtiraient un degré de pénibilité et de gravité tel qu'il constituerait un traitement contraire à l'art. 3 CEDH, respectivement à l'art. 3 Conv. Torture. En particulier, on ne saurait reprocher à la police croate de procéder à des interrogatoires des requérants d'asile afin de connaitre leur identité et leur parcours. L'intéressé n'a pas non plus apporté d'indices objectifs, concrets et sérieux qu'il serait privé, en Croatie, durablement de tout accès à des conditions matérielles minimales d'accueil prévues par la directive Accueil et qu'il ne pourrait pas bénéficier de l'aide nécessaire pour faire valoir ses droits. Cela étant,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 En effet, contrairement à ce qu'il allègue au stade du recours, rien ne permet de retenir que dans son cas concret, les autorités croates refuseraient de connaitre de ses plaintes ou dénonciations s'il devait subir un traitement incorrect.</w:t>
      </w:r>
    </w:p>
    <w:p>
      <w:r>
        <w:rPr>
          <w:b/>
        </w:rPr>
        <w:t>E. 6.4</w:t>
      </w:r>
    </w:p>
    <w:p>
      <w:r>
        <w:t>Pour ce qui est de la situation médicale, le Tribunal rappelle que le retour forcé d'une personne touchée dans sa santé n'est, selon la jurisprudence de la Cour EDH (cf. arrêt Paposhvili c. Belgique [GC] du 13 décembre 2016, requête no 41738/10 et arrêt Savran c. Danemark [GD]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6.5</w:t>
      </w:r>
    </w:p>
    <w:p>
      <w:r>
        <w:t>S'agissant en l'espèce des problèmes de santé invoqués, il ressort des documents médicaux produits (fiche de soins du (...) et des attestations médicales des (...) et (...) 2023) que le recourant souffre d'un état de stress post-traumatique se manifestant principalement par des troubles du sommeil et des idées noires en lien avec son vécu traumatisant et les violences subies en Afghanistan. Le traitement préconisé le (...) consistait dans la prise du Trittico et Seresta. Lors de la consultation médicale du (...), le recourant a indiqué qu'il souffrait des effets secondaires des médicaments prescrits (vertiges et nausées). La dose de Seresta a dès lors été réduite et le traitement par Trittico suspendu.</w:t>
      </w:r>
    </w:p>
    <w:p>
      <w:r>
        <w:rPr>
          <w:b/>
        </w:rPr>
        <w:t>E. 6.6</w:t>
      </w:r>
    </w:p>
    <w:p>
      <w:r>
        <w:t>Le Tribunal constate qu'à ce stade, les problèmes de santé dont souffre le recourant - sans vouloir les minimiser - ne sont pas d'une gravité telle qu'ils l'empêcheraient - compte tenu de la jurisprudence restrictive en la matière - de voyager ou que son transfert vers la Croatie l'exposerait à un danger réel pour sa vie, respectivement sa santé (cf., à ce sujet, Cour EDH précité Paposhvili c. Belgique [GC], par. 183). En effet, à l'heure actuelle, l'intéressé ne souffre pas d'une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w:t>
      </w:r>
    </w:p>
    <w:p>
      <w:r>
        <w:rPr>
          <w:b/>
        </w:rPr>
        <w:t>E. 6.7</w:t>
      </w:r>
    </w:p>
    <w:p>
      <w:r>
        <w:t>Par ailleurs, de jurisprudence constante, le Tribunal a retenu que la Croatie dispose de structures médicales suffisantes, même si les possibilités de soins y sont fortement mises à contribution à la suite d'un afflux important de migrants. Toutefois, étant liée par la directive Accueil, la Croatie doit faire en sorte que les demandeurs d'asile reçoivent les soins médicaux nécessaires qui comportent, au minimum, les soins urgents ainsi que le traitement essentiel des maladies et des troubles mentaux graves, et fournir l'assistance médicale aux demandeurs ayant des besoins particuliers en matière d'accueil, y compris des soins de santé appropriés (art. 19 par. 1 et 2 de la directive Accueil ; arrêt du TAF E-3771/2022 du 2 novembre 2022 consid. 6.4). Partant, après son transfert et s'il devait avoir besoin de soins particuliers, le recourant pourra se tourner vers les structures médicales croates pour obtenir l'assistance médicale nécessaire.</w:t>
      </w:r>
    </w:p>
    <w:p>
      <w:r>
        <w:rPr>
          <w:b/>
        </w:rPr>
        <w:t>E. 6.8</w:t>
      </w:r>
    </w:p>
    <w:p>
      <w:r>
        <w:t>Enfin,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7.1</w:t>
      </w:r>
    </w:p>
    <w:p>
      <w:r>
        <w:t>Au vu de ce qui précède, c'est à bon droit que le SEM n'est pas entré en matière sur la demande d'asile de l'intéressé, en application de l'art. 31a al. 1 let. b LAsi, et qu'il a prononcé son transfert de Suisse vers la Croatie.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7.2</w:t>
      </w:r>
    </w:p>
    <w:p>
      <w:r>
        <w:t>Le recours doit par conséquent être rejeté et la décision attaquée confirmée.</w:t>
      </w:r>
    </w:p>
    <w:p>
      <w:r>
        <w:rPr>
          <w:b/>
        </w:rPr>
        <w:t>E. 8</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été mis au bénéfice de l'assistance judiciaire partielle, par décision incidente du 10 février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