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F-3857/2021 vom 7. September 2021</w:t>
      </w:r>
    </w:p>
    <w:p>
      <w:r>
        <w:t>Bundesverwaltungsgericht, 2021-09-07, DE</w:t>
      </w:r>
    </w:p>
    <w:p>
      <w:r>
        <w:rPr>
          <w:b/>
        </w:rPr>
        <w:t xml:space="preserve">Quelle: </w:t>
      </w:r>
      <w:r>
        <w:t>https://mcp.opencaselaw.ch/entscheid/bvger_F-3857_2021</w:t>
      </w:r>
    </w:p>
    <w:p>
      <w:r>
        <w:t>FR: TAF F-3857/2021 du 7 septembre 2021</w:t>
      </w:r>
    </w:p>
    <w:p>
      <w:r>
        <w:t>IT: TAF F-3857/2021 del 7 settembre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Zu prüfen ist vorab, ob die Vorinstanz - wie in der Beschwerde eventualiter geltend gemacht - den Anspruch des Beschwerdeführers auf rechtliches Gehör verletzt hat.</w:t>
      </w:r>
    </w:p>
    <w:p>
      <w:r>
        <w:rPr>
          <w:b/>
        </w:rPr>
        <w:t>E. 3.2</w:t>
      </w:r>
    </w:p>
    <w:p>
      <w:r>
        <w:t>Der Beschwerdeführer macht geltend, die Vorinstanz habe keine vollständigen Abklärungen über seine familiäre Situation vorgenommen und habe im Rahmen des Übernahmeersuchens an die deutschen Behörden nicht erwähnt, dass er eine enge Beziehung zu seiner Familie pflege und mit dieser zusammenleben möchte. Folglich sei das Gesuch um Wiederaufnahme an die deutschen Behörden unvollständig gewesen.</w:t>
      </w:r>
    </w:p>
    <w:p>
      <w:r>
        <w:rPr>
          <w:b/>
        </w:rPr>
        <w:t>E. 3.3</w:t>
      </w:r>
    </w:p>
    <w:p>
      <w:r>
        <w:t>Der Anspruch auf rechtliches Gehör (Art. 29 VwVG) umfasst das Recht des Betroffenen, sich vor Erlass eines in seine Rechtsstellung eingreifenden Entscheids zur Sache äussern zu können (Art. 30 VwVG). Er verlangt von der Behörde, dass sie die Vorbringen des Betroffenen tatsächlich hört, ernsthaft prüft und in ihrer Entscheidfindung angemessen berücksichtigt (Art. 32 Abs. 1 VwVG).</w:t>
      </w:r>
    </w:p>
    <w:p>
      <w:r>
        <w:rPr>
          <w:b/>
        </w:rPr>
        <w:t>E. 3.4</w:t>
      </w:r>
    </w:p>
    <w:p>
      <w:r>
        <w:t>Die Vorinstanz gewährte dem Beschwerdeführer am 30. April 2021 und am 13. Juli 2021 das rechtliche Gehör. Sowohl im Wiederaufnahmegesuch vom 14. Juni 2021 als auch anlässlich der Remonstration vom 5. Juli machte die Vorinstanz gegenüber den deutschen Behörden Ausführungen bezüglich seiner Familie in der Schweiz. Dies war denn auch - neben dem beanstandeten Auszug aus der Eurodac-Datenbank - einer der Gründe, weshalb Deutschland das Übernahmeersuchen der Schweiz zunächst ablehnte. Die Rüge betreffend Verletzung des rechtlichen Gehörs erweist sich angesichts dieser Sachlage als unbegründet.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der Dublin-III-VO mehr statt (vgl. zum Ganzen BVGE 2017 VI/5 E. 6.2 und 8.2.1).</w:t>
      </w:r>
    </w:p>
    <w:p>
      <w:r>
        <w:rPr>
          <w:b/>
        </w:rPr>
        <w:t>E. 4.3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4.4</w:t>
      </w:r>
    </w:p>
    <w:p>
      <w:r>
        <w:t>Der Beschwerdeführer bestreitet nicht, in Deutschland ein Asylgesuch eingereicht zu haben. Nachdem die deutschen Behörden innert der in Art. 25 Abs. 1 Dublin-III-VO festgelegten Frist dem Wiederaufnahmegesuch der Vorinstanz zugestimmt haben, ist die Zuständigkeit Deutschlands grundsätzlich gegeben. Daran vermag auch die Tatsache nichts zu ändern, dass die Ehefrau und die Kinder des Beschwerdeführers in der Schweiz aufenthaltsberechtigt sind. Da im Wiederaufnahmeverfahren - wie hier - grundsätzlich (d.h. vorbehältlich der in Art. 7 Abs. 3 Dublin-III-VO genannten Ausnahmen) keine neue Zuständigkeitsprüfung nach Kapitel III Dublin-III-VO stattfindet (vgl. E. 4.2 hiervor), kann sich der Beschwerdeführer nicht auf die Zuständigkeit der Schweiz gestützt auf Art. 9 i.V.m. Art. 2 Bst. g Dublin-III-VO berufen.</w:t>
      </w:r>
    </w:p>
    <w:p>
      <w:r>
        <w:rPr>
          <w:b/>
        </w:rPr>
        <w:t>E. 5.1</w:t>
      </w:r>
    </w:p>
    <w:p>
      <w:r>
        <w:t>Vorab ist festzustellen, dass es keine wesentlichen Gründe für die Annahme gibt, das Asylverfahren und die Aufnahmebedingungen für asylsuchende Personen in Deutschland hätten Schwachstellen im Sinne von Art. 3 Abs. 2 zweiter und dritter Satz Dublin-III-VO, die eine Gefahr einer unmenschlichen Behandlung im Sinne des Artikels 4 der EU-Grundrechtcharta und Art. 3 EMRK mit sich bringen würden.</w:t>
      </w:r>
    </w:p>
    <w:p>
      <w:r>
        <w:rPr>
          <w:b/>
        </w:rPr>
        <w:t>E. 5.2</w:t>
      </w:r>
    </w:p>
    <w:p>
      <w:r>
        <w:t>Der Beschwerdeführer bringt vor, er habe die Beziehung zu seiner Ehefrau und zu seinen Kindern in den letzten Jahren stets gelebt und wolle diese aufrechterhalten. Seine Wegweisung aus der Schweiz würde eine Verletzung von Art. 8 EMRK darstellen, weshalb die Souveränitätsklausel gemäss Art. 17 der Dublin-III-VO anwendbar sei. Der Beschwerdeführer und seine Ehefrau gelten gemäss Beschluss des Zivilgerichts B._______ vom 20. September 2011 als getrennt. Im besagten Beschluss wurde festgehalten, dass der Ehefrau die Obhut über die Kinder zukommt. Zudem wurde dem Beschwerdeführer superprovisorisch verboten, die Ehefrau zu bedrohen oder sich ihr näher als 100 Meter zu nähern. Der Beschwerdeführer vermag nicht zu belegen, dass inzwischen wieder ein intaktes Familienverhältnis bestehen würde. Vielmehr stellen seine Ausführungen zum Ehe- und Familienleben lediglich pauschale Behauptungen dar. Auch angesichts dessen, dass er unabhängig von seiner Familie und zu einem anderen Zeitpunkt aus der Schweiz aus- und wieder eingereist ist, ist davon auszugehen, dass keine Familienbeziehung gelebt wird. Es kann folglich nicht von einer dauerhaften Beziehung ausgegangen werden (zur gelebten Beziehung im Sinne von Art. 8 EMRK vgl. Urteil des BVGer F-2842/2018 vom 23. Mai 2018), was eine Berufung auf Art. 8 Ziff. 1 EMRK von vornherein ausschliesst. Auch die vom Beschwerdeführer aufgeführten gesundheitlichen Probleme (Meningitis, Kopf- und Rückenschmerzen sowie Hautprobleme), die teilweise durch Arztberichte belegt sind, stellen kein Hindernis für seine Überstellung nach Deutschland dar. Es gibt keinen Grund zur Annahme, dass ihm in Deutschland die notwendige medizinische Behandlung verweigert werden würde. Wie die Vorinstanz in der angefochtenen Verfügung bereits aufgezeigt hat, werden die schweizerischen Behörden, die mit dem Vollzug der angefochtenen Verfügung beauftragt sind, den medizinischen Umständen bei der Bestimmung der konkreten Modalitäten der Überstellung Rechnung tragen und die deutschen Behörden vorgängig in geeigneter Weise über die spezifischen Gegebenheiten informieren (vgl. Art. 31 f. Dublin-III-VO). Ein Selbsteintritt aus humanitären Gründen ist bei dieser Sachlage nicht angezeigt. Die Vorinstanz ist demnach zu Recht gestützt auf Art. 31a Abs. 1 Bst. b AsylG auf das Asylgesuch des Beschwerdeführers nicht eingetreten und hat die Wegweisung nach Deutschland angeordnet.</w:t>
      </w:r>
    </w:p>
    <w:p>
      <w:r>
        <w:rPr>
          <w:b/>
        </w:rPr>
        <w:t>E. 6</w:t>
      </w:r>
    </w:p>
    <w:p>
      <w:r>
        <w:t>Nach dem Gesagten ist die Beschwerde abzuweisen. Mit dem vorliegenden Urteil fällt der am 31. August 2021 angeordnete Vollzugsstopp dahin. Das Gesuch um Erteilung der aufschiebenden Wirkung ist gegenstandslos geworden.</w:t>
      </w:r>
    </w:p>
    <w:p>
      <w:r>
        <w:rPr>
          <w:b/>
        </w:rPr>
        <w:t>E. 7.1</w:t>
      </w:r>
    </w:p>
    <w:p>
      <w:r>
        <w:t>Die gestellten Begehren erweisen sich als aussichtslos, weshalb das Gesuch um unentgeltliche Prozessführung ungeachtet einer allfälligen prozessualen Bedürftigkeit abzuweisen ist (Art. 65 Abs. 1 VwVG).</w:t>
      </w:r>
    </w:p>
    <w:p>
      <w:r>
        <w:rPr>
          <w:b/>
        </w:rPr>
        <w:t>E. 7.2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