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F-3857/2018 vom 21. Januar 2020</w:t>
      </w:r>
    </w:p>
    <w:p>
      <w:r>
        <w:t>Bundesverwaltungsgericht, 2020-01-21, DE</w:t>
      </w:r>
    </w:p>
    <w:p>
      <w:r>
        <w:rPr>
          <w:b/>
        </w:rPr>
        <w:t xml:space="preserve">Quelle: </w:t>
      </w:r>
      <w:r>
        <w:t>https://mcp.opencaselaw.ch/entscheid/bvger_F-3857_2018</w:t>
      </w:r>
    </w:p>
    <w:p>
      <w:r>
        <w:t>FR: TAF F-3857/2018 du 21 janvier 2020</w:t>
      </w:r>
    </w:p>
    <w:p>
      <w:r>
        <w:t>IT: TAF F-3857/2018 del 21 gennaio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 Verfahrensgegenstand bildet einzig das von der Vorinstanz am 13. Juni 2018 erlassene Einreiseverbot, weshalb auf die geäusserte Kritik am Vorgehen der Kantonspolizei Zürich nicht näher einzugehen ist.</w:t>
      </w:r>
    </w:p>
    <w:p>
      <w:r>
        <w:rPr>
          <w:b/>
        </w:rPr>
        <w:t>E. 1.4</w:t>
      </w:r>
    </w:p>
    <w:p>
      <w:r>
        <w:t>Das Bundesverwaltungsgericht entscheidet in der vorliegenden Sache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dabei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etwa Urteil des BVGer F-296/2017 vom 8. Juli 2019 E. 4.2 m.H.).</w:t>
      </w:r>
    </w:p>
    <w:p>
      <w:r>
        <w:rPr>
          <w:b/>
        </w:rPr>
        <w:t>E. 4.3</w:t>
      </w:r>
    </w:p>
    <w:p>
      <w:r>
        <w:t>Einen Verstoss gegen die öffentliche Sicherheit und Ordnung im Sinne von Art. 67 Abs. 2 Bst. a AIG begeht demnach auch, wer Normen des Ausländerrechts zuwiderhandelt. Es genügt, wenn der ausländischen Person eine Sorgfaltspflichtverletzung zugerechnet werden kann. Unkenntnis oder Fehlinterpretation der Einreise- oder der Aufenthaltsvorschriften - wie vom Beschwerdeführer anfänglich geltend gemacht -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den zuständigen Stellen zu informieren (vgl. anstelle vieler: Urteil des BVGer F-3163/2017 vom 12. März 2019 E. 6.2).</w:t>
      </w:r>
    </w:p>
    <w:p>
      <w:r>
        <w:rPr>
          <w:b/>
        </w:rPr>
        <w:t>E. 5.1</w:t>
      </w:r>
    </w:p>
    <w:p>
      <w:r>
        <w:t>Die Vorinstanz begründete die angefochtene Verfügung damit, die zuständige Behörde habe den Beschwerdeführer gemäss Art. 64d AIG weggewiesen, so dass die Wegweisung sofort zu vollstrecken gewesen sei. In der Vernehmlassung verwies sie zudem auf den Strafbefehl vom 13. Juni 2018 und hielt fest, dass der Betroffene illegal erwerbstätig gewesen sei. Daraus ergibt sich implizit, dass das Staatssekretariat die Fernhaltemassnahme auch wegen ausländerrechtlichen Verfehlungen als angezeigt erachtete. Dessen war sich der Beschwerdeführer von Anfang an bewusst, erfolgte die Gewährung des rechtlichen Gehörs zum Einreiseverbot doch ebenfalls im Hinblick auf die erwähnten Vorwürfe (vgl. ZH act. 3).</w:t>
      </w:r>
    </w:p>
    <w:p>
      <w:r>
        <w:rPr>
          <w:b/>
        </w:rPr>
        <w:t>E. 5.2</w:t>
      </w:r>
    </w:p>
    <w:p>
      <w:r>
        <w:t>Das Migrationsamt des Kantons Zürich hat am 13. Juni 2018 gestützt auf Art. 64d Abs. 2 AIG eine sofort vollstreckbare Wegweisung verfügt (SEM act. 5). Die entsprechende Verfügung ist rechtskräftig. Wird die Wegweisung nach Art. 64d Abs. 2 AIG - wie in casu - sofort vollzogen, so ist gemäss Art. 67 Abs. 1 Bst. a AIG grundsätzlich ein Einreiseverbot zu erlassen. Der Vorinstanz kommt dabei lediglich ein stark eingeschränktes Entschliessungsermessen zu (vgl. BBl 2009 8896 ad Art. 67 Abs. 1). Vor diesem Hintergrund hat das SEM zu Recht gegen den Beschwerdeführer ein Einreiseverbot gestützt auf Art. 67 Abs. 1 Bst. a AIG verhängt.</w:t>
      </w:r>
    </w:p>
    <w:p>
      <w:r>
        <w:rPr>
          <w:b/>
        </w:rPr>
        <w:t>E. 5.3</w:t>
      </w:r>
    </w:p>
    <w:p>
      <w:r>
        <w:t>Aus den Akten geht sodann hervor, dass der Beschwerdeführer am 12. Juni 2018 in der Schweiz gegen Entgelt Stückgut einsammelte, um dieses nach Serbien zu transportieren. Über eine entsprechende Bewilligung verfügte er nicht. Der Begriff der Erwerbstätigkeit ist weit zu fassen (vgl. etwa Urteil des BVGer F-6991/2018 vom 14. Oktober 2019 E. 5.4 m.H.). Als Erwerbstätigkeit gilt jede üblicherweise gegen Entgelt ausgeübte unselbständige oder selbständige Erwerbstätigkeit (vgl. in diesem Zusammenhang Art. 2 VZAE), selbst wenn sie unentgeltlich erfolgt (Art. 11 Abs. 2 AIG). Entgegen der Auffassung des Beschwerdeführers handelte es sich bei den fraglichen Rücktransporten fraglos um eine bewilligungspflichtige Erwerbstätigkeit im dargelegten Sinne. Die nachgereichten Unterlagen ändern daran nichts. Abgesehen davon betrifft ein Teil dieser Belege (Zollabfertigungspapiere, Rechnungen) am 11. Juni 2018 in die Schweiz eingeführtes Material (Konstruktionsteile für eine Renovation). Die vorliegenden Vorwürfe beziehen sich indes darauf, dass der Betroffene am folgenden Tag von verschiedenen Personen stammendes Stückgut (Bassin, Gartenmöbel, Haushaltartikel) in sein Herkunftsland überführen wollte. Diesen Sachverhalt hat er anlässlich der polizeilichen Einvernahme vom 12. Juni 2018 anerkannt (siehe ZH act. 4, pag. 16 - 18). Dass er nicht wusste, dass er keine Waren hätte annehmen dürfen, ist nicht von Belang (vgl. E. 4.3 hiervor). Daraus ergibt sich, dass auch die Einreise des Beschwerdeführers in die Schweiz rechtwidrig war (Art. 5 Abs. 1 Bst. a AIG). Anzumerken wäre, dass die Ergänzung der vorinstanzlichen Begründung im Sinne der sog. Motivsubstitution zulässig ist (siehe beispielsweise Urteil des BVGer F-296/2017 vom 8. Juli 2019 E. 5.3 m.H. oder auch Ausführungen unter E. 2 in fine).</w:t>
      </w:r>
    </w:p>
    <w:p>
      <w:r>
        <w:rPr>
          <w:b/>
        </w:rPr>
        <w:t>E. 5.4</w:t>
      </w:r>
    </w:p>
    <w:p>
      <w:r>
        <w:t>Wegen rechtswidriger Einreise und illegaler Erwerbstätigkeit wurde der Beschwerdeführer auch strafrechtlich belangt. Der entsprechende Strafbefehl vom 13. Juni 2018 blieb unangefochten (SEM act. 4). Von den dortigen Feststellungen und Erkenntnissen abzuweichen, besteht nur schon aufgrund der Aussagen der betreffenden Person gegenüber der Kantonspolizei Zürich kein Anlass (zur Bindungswirkung strafrechtlicher Erkenntnisse auf das ausländerrechtliche Administrativverfahren vgl. etwa BGE 139 II 95 E. 3.2 und BGE 137 I 363 E. 2.3.2 oder BVGE 2013/33 E. 4.3 je m.H.). Unerheblich ist, dass der Beschwerdeführer vom Polizisten und vom Dolmetscher dazu gedrängt worden sein will, die Straferkenntnisse zu akzeptieren. Mängel der behaupteten Art wären nach deren Feststellung im Strafverfahren geltend zu machen gewesen. Damit ist vorliegend auch der Fernhaltegrund von Art. 67 Abs. 2 Bst. a AIG erfüllt.</w:t>
      </w:r>
    </w:p>
    <w:p>
      <w:r>
        <w:rPr>
          <w:b/>
        </w:rPr>
        <w:t>E. 5.5</w:t>
      </w:r>
    </w:p>
    <w:p>
      <w:r>
        <w:t>Zusammenfassend ist festzuhalten, dass hinreichende Gründe vorliegen, welche die Verhängung einer Fernhaltemassnahme rechtfertigen.</w:t>
      </w:r>
    </w:p>
    <w:p>
      <w:r>
        <w:rPr>
          <w:b/>
        </w:rPr>
        <w:t>E. 6.1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Mit dem dargelegten Verhalten des Beschwerdeführers, das eine sofort vollstreckbare Wegweisung sowie eine strafrechtliche Verurteilung zur Folge hatte, wird auf eine Gefährdung der öffentlichen Sicherheit und Ordnung geschlossen. An der Einhaltung der Rechtsordnung im allgemeinen und den Vorschriften über Einreise und Aufenthalt im Besonderen besteht denn ein gewichtiges öffentliches Interesse. Zum einen liegt eine spezialpräventive Zielsetzung der Massnahme darin, den Beschwerdeführer zu ermahnen, bei einer allfälligen künftigen Wiedereinreise nach Ablauf des Einreiseverbots die für ihn geltenden Regeln einzuhalten. Gewichtig ist aber auch das generalpräventiv motivierte Interesse, die öffentliche Ordnung durch eine konsequente Massnahmenpraxis zu schützen (zur Zulässigkeit der Berücksichtigung generalpräventiver Aspekte in Konstellationen, in denen wie hier kein sogenannter Vertragsausländer betroffen ist, vgl. Urteil des BGer 2C_282/2012 vom 31. Juli 2012 E. 2.5 m.H.).</w:t>
      </w:r>
    </w:p>
    <w:p>
      <w:r>
        <w:rPr>
          <w:b/>
        </w:rPr>
        <w:t>E. 6.3</w:t>
      </w:r>
    </w:p>
    <w:p>
      <w:r>
        <w:t>Den öffentlichen Interessen sind die privaten Interessen des Beschwerdeführers gegenüberzustellen. Diese beziehen sich ausschliesslich auf dessen berufliche Tätigkeit. Die vorübergehende Einschränkung seiner Geschäftstätigkeit hat er jedoch selbst zu verantworten und in Kauf zu nehmen. Die diesbezüglichen Interessen werden zudem durch den Verzicht auf die Ausschreibung im SIS relativiert.</w:t>
      </w:r>
    </w:p>
    <w:p>
      <w:r>
        <w:rPr>
          <w:b/>
        </w:rPr>
        <w:t>E. 6.4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