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F-3834/2022 vom 14. September 2022</w:t>
      </w:r>
    </w:p>
    <w:p>
      <w:r>
        <w:t>Bundesverwaltungsgericht, 2022-09-14, DE</w:t>
      </w:r>
    </w:p>
    <w:p>
      <w:r>
        <w:rPr>
          <w:b/>
        </w:rPr>
        <w:t xml:space="preserve">Quelle: </w:t>
      </w:r>
      <w:r>
        <w:t>https://mcp.opencaselaw.ch/entscheid/bvger_F-3834_2022</w:t>
      </w:r>
    </w:p>
    <w:p>
      <w:r>
        <w:t>FR: TAF F-3834/2022 du 14 septembre 2022</w:t>
      </w:r>
    </w:p>
    <w:p>
      <w:r>
        <w:t>IT: TAF F-3834/2022 del 14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Den Einträgen in der "Eurodac"-Datenbank zufolge ersuchte der Beschwerdeführer am 6. Juli 2022 in Österreich um Asyl (vgl. SEM-act. 8). Die österreichischen Behörden stimmten dem Wiederaufnahmegesuch der Vorinstanz am 29. Juli 2022 zu (SEM-act. 18). Zutreffend geht die Vorinstanz daher vorliegend von der grundsätzlichen Wiederaufnahmezuständigkeit Österreichs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aus.</w:t>
      </w:r>
    </w:p>
    <w:p>
      <w:r>
        <w:rPr>
          <w:b/>
        </w:rPr>
        <w:t>E. 3.2</w:t>
      </w:r>
    </w:p>
    <w:p>
      <w:r>
        <w:t>Im Weiteren ist der Vorinstanz darin beizupflichten, dass die in der Schweiz wohnhafte Schwester des Beschwerdeführers nicht als Familienangehörige im Sinne von Art. 2 Bst. g Dublin-III-VO zu qualifizieren ist. Die Zuständigkeitskriterien zum Schutze der Familieneinheit (Art. 9 ff. Dublin-III-VO) sind deshalb vorliegend nicht einschlägig (vgl. statt vieler: Urteil des BVGer F-2715/2021 vom 11. März 2022 E. 10.1). Ohnehin hat im Rahmen eines Wiederaufnahmeverfahrens grundsätzlich keine neuerliche Zuständigkeitsprüfung stattzufinden (vgl. BVGE 2019 VI/7 E. 6.3 ff.; 2017 VI/5 E. 6.2 und 8.2.1 m.w.H.).</w:t>
      </w:r>
    </w:p>
    <w:p>
      <w:r>
        <w:rPr>
          <w:b/>
        </w:rPr>
        <w:t>E. 3.3</w:t>
      </w:r>
    </w:p>
    <w:p>
      <w:r>
        <w:t>Soweit der Beschwerdeführer vorbringt, in der Schweiz bei seiner Schwester leben zu wollen, ist er darauf hinzuweisen, dass ihm die Dublin-III-VO kein Recht einräumt, den seinen Antrag prüfenden Staat selber auswählen zu können (vgl. auch BVGE 2010/45 E. 8.3). Ausserdem liegt es nicht an ihm zu bestimmen, ob und wann seine Fingerabdrücke abgenommen und an die "Eurodac"-Datenbank übermittelt werden (vgl. statt vieler: Urteil des BVGer F-1010/2022 vom 11. März 2022 E. 3.2).</w:t>
      </w:r>
    </w:p>
    <w:p>
      <w:r>
        <w:rPr>
          <w:b/>
        </w:rPr>
        <w:t>E. 3.4</w:t>
      </w:r>
    </w:p>
    <w:p>
      <w:r>
        <w:t>Inwiefern zwischen ihm und seiner in der Schweiz wohnhaften Schwester ein besonderes, über die normale affektive Bindung hinausgehendes Abhängigkeitsverhältnis bestehen soll, legt der Beschwerdeführer nicht dar. Auch aus den Akten ist eine hinreichend intensive Beziehung zwischen den beiden nicht erkennbar, sodass sich der Beschwerdeführer nicht auf Art. 8 EMRK berufen kann (vgl. BGE 144 II 1 E. 6.1; 135 I 143 E. 3.1). Eine Unterstützungskonstellation nach Art. 16 Abs. 1 Dublin-III-VO behauptet der Beschwerdeführer nicht. Gesundheitliche Beeinträchtigungen, welche in Anwendung von Art. 3 EMRK einer Überstellung nach Österreich entgegenstehen könnten, macht er ebenfalls keine geltend.</w:t>
      </w:r>
    </w:p>
    <w:p>
      <w:r>
        <w:rPr>
          <w:b/>
        </w:rPr>
        <w:t>E. 4</w:t>
      </w:r>
    </w:p>
    <w:p>
      <w:r>
        <w:t>Der angefochtene Entscheid verletzt somit keine die Schweiz bindende völkerrechtliche Bestimmung. Das ihr im Übrigen bei der Anwendung von Art. 29a Abs. 3 der Asylverordnung 1 vom 11. August 1999 (AsylV 1, SR 142.311) in Verbindung mit Art. 17 Dublin-III-VO zustehende Ermessen hat die Vorinstanz gesetzeskonform ausgeübt (vgl. BVGE 2015/9 E. 8). Es ist nicht zu beanstanden, dass sie das Vorliegen humanitärer Gründe verneint und vom Selbsteintrittsrecht keinen Gebrauch gemacht hat. Zu Recht ist sie auf das Asylgesuch nicht eingetreten und hat die Überstellung des Beschwerdeführers nach Österreich verfügt. Die Beschwerde ist abzuweisen.</w:t>
      </w:r>
    </w:p>
    <w:p>
      <w:r>
        <w:rPr>
          <w:b/>
        </w:rPr>
        <w:t>E. 5</w:t>
      </w:r>
    </w:p>
    <w:p>
      <w:r>
        <w:t>Entsprechend dem Ausgang des Verfahrens sind die Verfahrenskosten dem Beschwerdeführer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