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F-3817/2023 vom 28. Juni 2023</w:t>
      </w:r>
    </w:p>
    <w:p>
      <w:r>
        <w:t>Bundesverwaltungsgericht, 2023-06-28, FR</w:t>
      </w:r>
    </w:p>
    <w:p>
      <w:r>
        <w:rPr>
          <w:b/>
        </w:rPr>
        <w:t xml:space="preserve">Quelle: </w:t>
      </w:r>
      <w:r>
        <w:t>https://mcp.opencaselaw.ch/entscheid/bvger_F-3817_2023_d20230628</w:t>
      </w:r>
    </w:p>
    <w:p>
      <w:r>
        <w:t>FR: TAF F-3817/2023 du 28 juin 2023</w:t>
      </w:r>
    </w:p>
    <w:p>
      <w:r>
        <w:t>IT: TAF F-3817/2023 del 28 giugno 2023</w:t>
      </w:r>
    </w:p>
    <w:p>
      <w:pPr>
        <w:pStyle w:val="Heading2"/>
      </w:pPr>
      <w:r>
        <w:t>Regeste</w:t>
      </w:r>
    </w:p>
    <w:p>
      <w:r>
        <w:t>Renvoi Dublin (droit des &amp;eacute;trangers) | Renvoi Dublin (droit des étrangers); décision du SEM du 28 juin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présidente du collège : Le greffier : Aileen Truttmann Georges Fugner Expédition : Le présent arrêt est adressé : - au mandataire du recourant (recommandé ; annexe : un bulletin de versement) - au SEM, ad ... ... - au Service cantonal des migrations, Lucerne (en copie pour information)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