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F-3812/2020 vom 4. August 2020</w:t>
      </w:r>
    </w:p>
    <w:p>
      <w:r>
        <w:t>Bundesverwaltungsgericht, 2020-08-04, DE</w:t>
      </w:r>
    </w:p>
    <w:p>
      <w:r>
        <w:rPr>
          <w:b/>
        </w:rPr>
        <w:t xml:space="preserve">Quelle: </w:t>
      </w:r>
      <w:r>
        <w:t>https://mcp.opencaselaw.ch/entscheid/bvger_F-3812_2020</w:t>
      </w:r>
    </w:p>
    <w:p>
      <w:r>
        <w:t>FR: TAF F-3812/2020 du 4 août 2020</w:t>
      </w:r>
    </w:p>
    <w:p>
      <w:r>
        <w:t>IT: TAF F-3812/2020 del 4 agosto 2020</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3 AsylG und Art. 52 Abs. 1 VwVG) ist einzutreten.</w:t>
      </w:r>
    </w:p>
    <w:p>
      <w:r>
        <w:rPr>
          <w:b/>
        </w:rPr>
        <w:t>E. 1.2</w:t>
      </w:r>
    </w:p>
    <w:p>
      <w:r>
        <w:t>Die Kognition des Bundesverwaltungsgerichts und die zulässigen Rügen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Staat als zuständig bestimmt werden, wird der die Zuständigkeit prüfende Mitgliedstaat zuständig (Art. 3 Abs. 2 Dublin-III-VO).</w:t>
      </w:r>
    </w:p>
    <w:p>
      <w:r>
        <w:rPr>
          <w:b/>
        </w:rPr>
        <w:t>E. 4.3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Ein Abgleich der Fingerabdrücke des Beschwerdeführers mit der "Eurodac"-Datenbank ergab, dass dieser am 3. Juli 2015 und am 24. April 2019 in Deutschland Asylgesuche eingereicht hatte. Das SEM ersuchte deshalb die deutschen Behörden am 10. Juli 2020 um Wiederaufnahme des Beschwerdeführers gestützt auf Art. 23 Dublin-III-VO. Diese stimmten dem Gesuch am 16. Juli 2020 zu. Der Beschwerdeführer bestreitet nicht, in Deutschland ein Asylgesuch eingereicht zu haben, und auch die grundsätzliche Zuständigkeit dieses Mitgliedstaates blieb unbestritten.</w:t>
      </w:r>
    </w:p>
    <w:p>
      <w:r>
        <w:rPr>
          <w:b/>
        </w:rPr>
        <w:t>E. 5.2</w:t>
      </w:r>
    </w:p>
    <w:p>
      <w:r>
        <w:t>Im Lichte von Art. 3 Abs. 2 Dublin-III-VO ist zu prüfen, ob es wesentliche Gründe für die Annahme gibt, das Asylverfahren und die Aufnahmebedingungen für Asylsuchende in Deutschland würden systemische Schwachstellen aufweisen, die eine Gefahr einer unmenschlichen oder entwürdigenden Behandlung im Sinne des Artikels 4 der EU-Grundrechtecharta mit sich bringen würden.</w:t>
      </w:r>
    </w:p>
    <w:p>
      <w:r>
        <w:rPr>
          <w:b/>
        </w:rPr>
        <w:t>E. 5.2.1</w:t>
      </w:r>
    </w:p>
    <w:p>
      <w:r>
        <w:t>Auf Beschwerdeebene macht der Beschwerdeführer geltend, es sei für ihn unmöglich gewesen, in Deutschland zu bleiben. Er habe dort mit einer christlichen Organisation zusammengearbeitet, weshalb seine Beziehung zu seinen muslimischen Landsleuten erschwert worden sei; er sei verstossen und bedroht worden. Moralische Unterstützung habe er nur von seinen Eltern erhalten. Seine Partnerin sei gegen seine Zusammenarbeit mit der christlichen Organisation gewesen und habe ihm mitgeteilt, er könne nur mit ihr zusammenbleiben, wenn er diese Arbeit aufgebe, den Kontakt zu seinen Eltern abbreche und wieder der muslimischen Gemeinschaft beitrete. Er habe sich den Einschüchterungsmethoden und den Drohungen seiner muslimischen Landsleute nicht beugen wollen und ein Zusammenleben mit seiner Partnerin sei nicht mehr möglich gewesen, weshalb er sie verlassen habe. Dies habe zu einem definitiven Bruch mit der muslimischen Gemeinschaft geführt. Daraufhin habe er anonyme telefonische Drohungen erhalten und seine Eltern seien in Afghanistan auf der Strasse beschimpft worden. Zudem sei in seine Wohnung eingebrochen worden, als er nicht zu Hause gewesen sei. Die Wohnung sei demoliert und auf den Spiegel sei ein rotes Kreuz gezeichnet worden. Die christliche Organisation habe ihm geraten, keine Anzeige zu erstatten, um sein Leben nicht noch mehr in Gefahr zu bringen. Aus diesen Gründen habe er Deutschland verlassen.</w:t>
      </w:r>
    </w:p>
    <w:p>
      <w:r>
        <w:rPr>
          <w:b/>
        </w:rPr>
        <w:t>E. 5.2.2</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Es bestehen keine Hinweise darauf, der deutsche Staat sei nicht schutzfähig und schutzwillig. Dem Beschwerdeführer steht es damit frei, sich bezüglich der Drohungen von Seiten der muslimischen Gemeinschaft an die zuständigen deutschen Behörden zu wenden. Unter diesen Umständen ist die Anwendung von Art. 3 Abs. 2 Dublin-III-VO nicht gerechtfertigt.</w:t>
      </w:r>
    </w:p>
    <w:p>
      <w:r>
        <w:rPr>
          <w:b/>
        </w:rPr>
        <w:t>E. 5.3</w:t>
      </w:r>
    </w:p>
    <w:p>
      <w:r>
        <w:t>Der Beschwerdeführer fordert implizit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 Der Beschwerdeführer hat kein konkretes und ernsthaftes Risiko dargetan, die deutschen Behörden würden sich weigern, ihn wieder aufzunehmen und seinen Antrag auf internationalen Schutz unter Einhaltung der Regeln der Verfahrensrichtlinie zu prüfen. Den Akten sind denn auch keine Gründe für die Annahme zu entnehmen,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er nicht dargetan, die ihn bei einer Rückführung erwartenden Bedingungen in Deutschland seien derart schlecht, dass sie zu einer Verletzung von Art. 4 der EU-Grundrechtecharta, Art. 3 EMRK oder Art. 3 FoK führen könnten. Es liegen keine Hinweise dafür vor, dass die Behandlung seines Asylgesuchs mangelhaft gewesen sein könnte und seine Wegweisung in Verletzung des Non-Refoulement-Prinzips verfügt worden wäre.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Vorliegend führt die Überstellung des Beschwerdeführers nach Deutschland gemäss Akten nicht zu einer Kettenabschiebung, welche gegen das Non-Refoulement-Prinzip verstossen würde, wie es in Art. 33 FK verankert ist (und sich ausserdem aus Art. 4 der EU-Grundrechtecharta, Art. 3 EMRK oder Art. 3 FoK ableiten lässt). Der Beschwerdeführer hat auch keine konkreten Hinweise für die Annahme dargetan, Deutschland würde ihm dauerhaft die ihm gemäss Aufnahmerichtlinie zustehenden minimalen Lebensbedingungen vorenthalten. Bei einer allfälligen vorübergehenden Einschränkung könnte er sich im Übrigen nötigenfalls an die deutschen Behörden wenden und die ihm zustehenden Aufnahmebedingungen auf dem Rechtsweg einfordern (vgl. Art. 26 Aufnahmerichtlinie). Der Beschwerdeführer macht geltend, er leide an Schlaf- und Essensstörungen. In Deutschland sei er ärztlich gut betreut gewesen, seine Medikamente hätten jedoch nicht mehr gewirkt. Am Tag seines Termins bei einem Psychologen in B._______ sei er nach C._______ transferiert worden, weshalb er bis heute keine medizinischen Unterlagen zu seinem Gesundheitszustand habe einreichen können. Anlässlich der Befragung durch die Vorinstanz führte der Beschwerdeführer aus, es gehe ihm besser. Er habe seit vier Jahren Probleme beim Einschlafen und sei in Deutschland deswegen in psychologischer Behandlung gewesen (vgl. SEM-Akten act. 1069263-18). Seine gesundheitlichen Probleme sind damit nicht derart gravierend, als dass eine Überstellung nach Deutschland eine tatsächliche Gefahr (real risk) einer Verletzung von Art. 3 EMRK mit sich bringen würde (vgl. BVGE 2011/9 E. 7 mit Hinweisen auf die Rechtsprechung des EGMR sowie Urteil des EGMR P. gegen Belgien vom 13. Dezember 2016 [Nr. 41738/10]). Für einen Selbsteintritt der Schweiz gemäss Art. 29a Abs. 3 AsylV1 in Verbindung mit Art. 17 Dublin-III-VO besteht demnach keine Veranlassung. Eine Ermessenunterschreitung liegt nicht vor. Der Vollständigkeit halber ist festzuhalten, dass die Dublin-III-VO den Schutzsuchenden kein Recht einräumt, den ihren Antrag prüfenden Staat selber auszuwählen (vgl. auch BVGE 2010/45 E. 8.3).</w:t>
      </w:r>
    </w:p>
    <w:p>
      <w:r>
        <w:rPr>
          <w:b/>
        </w:rPr>
        <w:t>E. 5.4</w:t>
      </w:r>
    </w:p>
    <w:p>
      <w:r>
        <w:t>Allfällige Verzögerungen aufgrund der herrschenden Situation im Zusammenhang mit der COVID-19-Pandemie stellen - gemäss aktuellem Kenntnisstand - lediglich temporäre Vollzugshindernisse dar und vermögen am Ausgang des vorliegenden Verfahrens nichts zu ändern (vgl. Urteil des BVGer F-1829/2020 vom 9. April 2020 E. 5.2).</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Deutschland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w:t>
      </w:r>
    </w:p>
    <w:p>
      <w:r>
        <w:t>Nach dem Gesagten ist die Beschwerde abzuweisen und die Verfügung des SEM zu bestätigen.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10</w:t>
      </w:r>
    </w:p>
    <w:p>
      <w:r>
        <w:t>Mit dem vorliegenden Urteil fällt der am 29. Juli 2020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