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F-380/2021 vom 2. Februar 2021</w:t>
      </w:r>
    </w:p>
    <w:p>
      <w:r>
        <w:t>Bundesverwaltungsgericht, 2021-02-02, DE</w:t>
      </w:r>
    </w:p>
    <w:p>
      <w:r>
        <w:rPr>
          <w:b/>
        </w:rPr>
        <w:t xml:space="preserve">Quelle: </w:t>
      </w:r>
      <w:r>
        <w:t>https://mcp.opencaselaw.ch/entscheid/bvger_F-380_2021</w:t>
      </w:r>
    </w:p>
    <w:p>
      <w:r>
        <w:t>FR: TAF F-380/2021 du 2 février 2021</w:t>
      </w:r>
    </w:p>
    <w:p>
      <w:r>
        <w:t>IT: TAF F-380/2021 del 2 febbraio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beantragt, die Sache sei wegen Verletzung des rechtlichen Gehörs an die Vorinstanz zurückzuweisen. Ein für den 21. Januar 2021 geplantes psychiatrisches Konsil sei wegen seiner Verlegung ins B._______ verschoben worden. Die Vorinstanz hätte mit ihrem Entscheid zuwarten müssen, bis die Ergebnisse des Konsils vorgelegen hätten. Erst dann hätte sie die Zulässigkeit seiner Wegweisung beurteilen können.</w:t>
      </w:r>
    </w:p>
    <w:p>
      <w:r>
        <w:rPr>
          <w:b/>
        </w:rPr>
        <w:t>E. 3.2</w:t>
      </w:r>
    </w:p>
    <w:p>
      <w:r>
        <w:t>Der Anspruch auf rechtliches Gehör nach Art. 29 Abs. 2 BV umfasst alle Befugnisse, die einer Partei einzuräumen sind, damit sie in einem Verfahren ihren Standpunkt wirksam zur Geltung bringen kann. Daraus ergibt sich der Anspruch auf Abnahme der rechtzeitig und formrichtig angebotenen rechtserheblichen Beweismittel (BGE 144 II 427 E. 3.1). Umgekehrt folgt daraus, dass keine Verletzung des rechtlichen Gehörs vorliegt, wenn eine Behörde auf die Abnahme beantragter Beweismittel verzichtet, weil sie auf Grund der bereits abgenommenen Beweise ihre Überzeugung gebildet hat und in vorweggenommener (antizipierter) Beweiswürdigung annehmen kann, dass ihre Überzeugung durch weitere Beweiserhebungen nicht geändert würde (BGE 140 I 60 E. 3.3).</w:t>
      </w:r>
    </w:p>
    <w:p>
      <w:r>
        <w:rPr>
          <w:b/>
        </w:rPr>
        <w:t>E. 3.3</w:t>
      </w:r>
    </w:p>
    <w:p>
      <w:r>
        <w:t>Gemäss Arztbericht vom 11. Januar 2021 leidet der Beschwerdeführer an Verhaltensstörungen wegen Kokain- und Medikamentenmissbrauchs. Zudem gab der Beschwerdeführer an, er sei in Deutschland in psychiatrischer Behandlung gewesen. Aufgrund des Krankheitsbilds und der Tatsache, dass er in Deutschland die notwendige medizinische Behandlung erhalten hat, ging die Vorinstanz davon aus, dass das Ergebnis des psychiatrischen Konsils nichts an ihrem Entscheid ändern würde. Sie durfte somit darauf verzichten, mit dem Entscheid zuzuwarten, bis die Ergebnisse weiterer medizinischer Abklärungen vorlagen. Durch diese antizipierte Beweiswürdigung wurde das rechtliche Gehör nicht verletzt.</w:t>
      </w:r>
    </w:p>
    <w:p>
      <w:r>
        <w:rPr>
          <w:b/>
        </w:rPr>
        <w:t>E. 3.4</w:t>
      </w:r>
    </w:p>
    <w:p>
      <w:r>
        <w:t>Die formelle Rüge erweist sich angesichts dieser Sachlage als unbegründet, weshalb keine Veranlassung besteht, die angefochtene Verfügung aufzuheben und die Sache an die Vorinstanz zurückzuweisen. Das entsprechende Rechtsbegehren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deutschen Behörden stimmten dem Übernahmeersuchen der Vor-instanz innert der in Art. 25 Abs. 1 Dublin-III-VO festgelegten Frist zu. Die Zuständigkeit Deutschlands ist somit grundsätzlich gegeben.</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Gemäss dieser Bestimmung kann die Vorinstanz das Asylgesuch aus humanitären Gründen auch dann behandeln, wenn dafür gemäss Dublin-III-VO ein anderer Staat zuständig wäre.</w:t>
      </w:r>
    </w:p>
    <w:p>
      <w:r>
        <w:rPr>
          <w:b/>
        </w:rPr>
        <w:t>E. 5.1</w:t>
      </w:r>
    </w:p>
    <w:p>
      <w:r>
        <w:t>Der Beschwerdeführer bringt vor, in Deutschland gebe es Personen, die ihn umbringen wollten. Die deutschen Behörden hätten sein Asylgesuch abgelehnt und ihn nach Israel zurückführen wollen. In Israel würden zurückgeführte Palästinenser nicht akzeptiert. Des Weiteren würden medizinische Gründe gegen eine Rückführung nach Deutschland sprechen. Er sei seit fünf Jahren in psychiatrischer Behandlung und auf die Medikamente Seloquin und Rivotril angewiesen. Im Arztbericht vom 11. Januar 2021 seien Verhaltensstörungen durch schädlichen Gebrauch von Sedativa oder Hypnotika (Rivotril) und Kokain, Verdacht auf Anpassungsstörungen und depressive Episode (eigenanamnestisch) als Diagnose vermerkt.</w:t>
      </w:r>
    </w:p>
    <w:p>
      <w:r>
        <w:rPr>
          <w:b/>
        </w:rPr>
        <w:t>E. 5.2</w:t>
      </w:r>
    </w:p>
    <w:p>
      <w:r>
        <w:t>Nach ständiger Rechtsprechung des Bundesverwaltungsgerichts weist das Asylverfahren in Deutschland keine systemischen Schwachstellen im Sinn von Art. 3 Abs. 2 Dublin-III-VO auf (vgl. statt vieler Urteil des BVGer F-3425/2020 vom 8. Juli 2020 E. 4.1). Das (im Übrigen nicht weiter begründete) Vorbringen des Beschwerdeführers, Personen wollten ihn in Deutschland umbringen, erweist sich somit als unbehelflich, zumal Deutschland über funktionierende Strafverfolgungsbehörden verfügt. Hinsichtlich einer Rückführung nach Israel ist festzuhalten, dass er allfällige Wegweisungsvollzugshindernisse gegenüber den deutschen Behörden geltend machen kann und es keine Hinweise darauf gibt, Deutschland würde in seinem Fall den Grundsatz des Non-Refoulement (Art. 33 des Abkommens vom 28. Juli 1951 über die Rechtsstellung der Flüchtlinge [FK, SR 0.142.30]) missachten und ihn zur Ausreise in ein Land zwingen, in welchem ihm eine asylrelevante Verfolgung nach Art. 3 Abs. 1 AsylG drohen würde. Art. 3 Abs. 2 Dublin-III-VO kommt daher nicht zur Anwendung.</w:t>
      </w:r>
    </w:p>
    <w:p>
      <w:r>
        <w:rPr>
          <w:b/>
        </w:rPr>
        <w:t>E. 5.3</w:t>
      </w:r>
    </w:p>
    <w:p>
      <w:r>
        <w:t>Zu prüfen bleibt, ob die Vorinstanz das Selbsteintrittsrecht hätte ausüben müssen (vgl. E. 4.4 hiervor). Gemäss Arztbericht vom 11. Januar 2021 leidet der Beschwerdeführer an Verhaltensstörungen aufgrund eines Medikamenten- und Drogenmissbrauchs. Zudem besteht ein Verdacht auf Anpassungsstörungen. Die depressive Episode beruht auf einer Eigendiagnose des Beschwerdeführers und nicht auf einer ärztlichen Diagnose. Die genannten gesundheitlichen Beeinträchtigungen stellen kein Hindernis für seine Überstellung nach Deutschland dar. Gemäss seinen Angaben war er in Deutschland fünf Jahre in psychiatrischer Behandlung und erhielt die nötigen Medikamente. Es gibt keinen Grund zur Annahme, nach der Rückkehr würde ihm in Deutschland die notwendige medizinische Behandlung verweigert werden. Ein Selbsteintritt aus humanitären Gründen ist bei dieser Sachlage nicht angezeigt. Die Vorinstanz ist demnach zu Recht gestützt auf Art. 31a Abs. 1 Bst. b AsylG auf das Asylgesuch des Beschwerdeführers nicht eingetreten und hat zu Recht die Überstellung nach Deutschland angeordnet.</w:t>
      </w:r>
    </w:p>
    <w:p>
      <w:r>
        <w:rPr>
          <w:b/>
        </w:rPr>
        <w:t>E. 6</w:t>
      </w:r>
    </w:p>
    <w:p>
      <w:r>
        <w:t>Nach dem Gesagten ist die Beschwerde abzuweisen. Mit dem vorliegenden Urteil fällt der am 28. Januar 2021 angeordnete Vollzugsstopp dahin. Das Gesuch um Erteilung der aufschiebenden Wirkung ist gegenstandslos geworden.</w:t>
      </w:r>
    </w:p>
    <w:p>
      <w:r>
        <w:rPr>
          <w:b/>
        </w:rPr>
        <w:t>E. 7.1</w:t>
      </w:r>
    </w:p>
    <w:p>
      <w:r>
        <w:t>Die gestellten Begehren erweisen sich als aussichtslos, weshalb das Gesuch um unentgeltliche Prozessführung ungeachtet einer allfälligen prozessualen Bedürftigkeit abzuweisen ist (Art. 65 Abs. 1 VwVG).</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