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F-3809/2019 vom 19. Februar 2021</w:t>
      </w:r>
    </w:p>
    <w:p>
      <w:r>
        <w:t>Bundesverwaltungsgericht, 2021-02-19, DE</w:t>
      </w:r>
    </w:p>
    <w:p>
      <w:r>
        <w:rPr>
          <w:b/>
        </w:rPr>
        <w:t xml:space="preserve">Quelle: </w:t>
      </w:r>
      <w:r>
        <w:t>https://mcp.opencaselaw.ch/entscheid/bvger_F-3809_2019</w:t>
      </w:r>
    </w:p>
    <w:p>
      <w:r>
        <w:t>FR: TAF F-3809/2019 du 19 février 2021</w:t>
      </w:r>
    </w:p>
    <w:p>
      <w:r>
        <w:t>IT: TAF F-3809/2019 del 19 febbraio 2021</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Der Beschwerdeführer hat am vorangegangenen Einspracheverfahren teilgenommen und ist als Gastgeber der Gesuchstellerin durch den angefochtenen Entscheid besonders berührt. Obwohl der ursprünglich angestrebte Besuchszeitraum inzwischen abgelaufen ist, muss auf ein fortbestehendes Rechtsschutzinteresse geschlossen werden. Dies belegt allein schon die Einreichung des Rechtsmittels. Der Beschwerdeführer ist daher zur Erhebung des Rechtsmittels legitimiert (Art. 48 Abs. 1 VwVG). Auf die im Übrigen frist- und formgerecht eingereichte Beschwerde ist einzutreten (vgl.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Dem angefochtenen Entscheid liegt das Gesuch einer dominikanischen Staatsangehörigen um Erteilung eines Visums für einen 42-tägigen Besuchsaufenthalt in der Schweiz zugrunde. Da sich die Gesuchstellerin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(AIG, SR 142.20) und dessen Ausführungsbestimmungen gelangen nur soweit zur Anwendung, als die Schengen-Assoziierungsabkommen keine abweichenden Bestimmungen enthalten (Art. 2 Abs. 4 AIG).</w:t>
      </w:r>
    </w:p>
    <w:p>
      <w:r>
        <w:rPr>
          <w:b/>
        </w:rPr>
        <w:t>E. 4.1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über die Einreise und die Visumserteilung vom 15. August 2018 [VEV], in Kraft seit dem 15. September 2018; vgl. auch Art. 2 Ziff. 6 SGK; Art. 5 Abs. 1 Bst. a AIG). Als dominikanische Staatsangehörige unterliegt die Gesuchstellerin unbestrittenermassen der Visumspflicht (Anhang I der bereits erwähnten Verordnung Nr. 2018/1806; Art. 8 Abs. 1 VEV).</w:t>
      </w:r>
    </w:p>
    <w:p>
      <w:r>
        <w:rPr>
          <w:b/>
        </w:rPr>
        <w:t>E. 4.2</w:t>
      </w:r>
    </w:p>
    <w:p>
      <w:r>
        <w:t>Voraussetzung zur Visumserteilung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4.3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4.4</w:t>
      </w:r>
    </w:p>
    <w:p>
      <w:r>
        <w:t>Sind sämtliche Voraussetzungen für die Visumserteilung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Visumserteilung erfüllt sind, ein weiter Beurteilungsspielraum zu (BVGE 2014/1 E. 4.1.5 in fine; Urteil des BVGer F-7617/2016 E. 4.1).</w:t>
      </w:r>
    </w:p>
    <w:p>
      <w:r>
        <w:rPr>
          <w:b/>
        </w:rPr>
        <w:t>E. 4.5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ein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5.1</w:t>
      </w:r>
    </w:p>
    <w:p>
      <w:r>
        <w:t>Aufgrund ihrer Staatszugehörigkeit unterliegt die Gesuchstellerin der Visumspflicht (vgl. E. 4.1 hiervor). Bei der Prüfung der Einreisevoraussetzungen nach Art. 6 Abs. 1 SGK ist die Frage der gesicherten Wiederausreise zentral. Eine solche erachtete die Vorinstanz aufgrund der allgemeinen Situation im Heimatland und der persönlichen Verhältnisse der Betroffenen als nicht genügend gewährleistet.</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5.3</w:t>
      </w:r>
    </w:p>
    <w:p>
      <w:r>
        <w:t>Die Dominikanische Republik verzeichnete in den letzten Jahren ein starkes Wirtschaftswachstum und erreichte zwischen 2015 und 2019 mit durchschnittlich 6,1% jährlich eine der höchsten Raten in Lateinamerika und der Karibik. Angetrieben von einer stabilen Inlandnachfrage betrug das Wachstum zuletzt gar 7%. Die Einkommensverteilung präsentiert sich allerdings weiterhin sehr ungleich, da sich das Wachstum nicht in einer breiten gesamtgesellschaftlichen Wohlstandsentwicklung manifestiert. Die Armutsrate ist nach wie vor hoch und liegt gemäss der letzten Datenerhebung der Weltbank bei über 30%. Somit ist immer noch eine breite Bevölkerungsschicht von vergleichsweise schwierigen wirtschaftlichen Lebensbedingungen betroffen. Der Arbeitsmarkt kennzeichnet sich durch eine anhaltende Arbeitslosigkeit sowie niedrige Löhne. Die schlechten Aussichten auf dem heimischen Arbeitsmarkt sind mitunter ein Grund für die hohe Auswanderungsrate (vgl. zum Ganzen "www.worldbank.org" &gt; Where we work &gt; Dominican Republic &gt; Overview, Stand: 29. Oktober 2020; Urteil des BVGer F-4313/2019 vom 14. Februar 2020 E. 5.2 m.H.). Mittlerweile hat ebenfalls das dynamische Wirtschaftswachstum nachgelassen. Insbesondere die Tourismusbranche traf ein herber Rückschlag. Dies unter anderem, da im vergangenen Jahr nach entsprechenden Berichten in amerikanischen Medien die Sicherheit des Reiselands in Frage gestellt wurde (vgl. Urteil des BVGer F-4303/2019 vom 27. April 2020 E. 5.2 m.H.). Kommt hinzu, dass die Vereinigten Staaten, Kanada und Frankreich inmitten der durch die COVID-19-Pandemie verursachten Gesundheitskrise restriktive Massnahmen für ihre Staatsangehörigen angeordnet haben, was einen harten Schlag für die Dominikanische Republik bedeutet (vgl. www.domreptotal.com &gt; Neue Regeln der USA, Kanada und Frankreich treffen Dominikanische Republik hart, vom 30. Januar 2021; besucht im Februar 2021). Die Lage hat sich zwischenzeitlich nicht verändert.</w:t>
      </w:r>
    </w:p>
    <w:p>
      <w:r>
        <w:rPr>
          <w:b/>
        </w:rPr>
        <w:t>E. 5.4</w:t>
      </w:r>
    </w:p>
    <w:p>
      <w:r>
        <w:t>Vor diesem Hintergrund ist nicht zu beanstanden, dass die Vorinstanz das Risiko einer nicht fristgerechten Wiederausreise von Besucherinnen und Besuchern aus der Dominikanischen Republik als grundsätzlich sehr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die weiteren Umstände ebenfalls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6.1</w:t>
      </w:r>
    </w:p>
    <w:p>
      <w:r>
        <w:t>Bei der Gesuchstellerin handelt es sich um eine 33-jährige, ledige Mutter von drei unmündigen Kindern. Als alleinerziehende Mutter von drei Kindern dürfte die Gesuchstellerin durchaus familiäre Verpflichtungen im Heimatland haben. Das Zurücklassen minderjähriger Kinder bildet für sich allein aber noch keine Garantie für eine anstandslose und fristgerechte Wiederausreise nach einem Besuchsaufenthalt. Die Erfahrung zeigt, dass es in der Regel vielmehr die individuell herrschenden wirtschaftlichen und sozialen Verhältnisse sind, die letztlich über Rückkehr oder Verbleib im Ausland entscheiden. Dass eine Familie vorübergehend getrennt wird, wird je nach Interessenlage in Kauf genommen. Dies umso eher, wenn - wie der Beschwerde entnommen werden kann - die Betreuung der Kinder durch nahe Angehörige (in casu deren leiblichen Vater, der Tante sowie einer Freundin der Gesuchstellerin) sichergestellt werden kann und die Möglichkeit besteht, die Kinder, für welche die Eingeladene die elterliche Sorge und Obhut innehat, später nachziehen zu können (vgl. Urteil des BVGer F-1520/2019 vom 16. Oktober 2019 E. 8.1). Angesichts des vorgesehenen längeren Besuchsaufenthalts der Gesuchstellerin in der Schweiz darf ohnehin davon ausgegangen werden, die Betreuung der minderjährigen Kinder sei auch ohne die dauerhafte Anwesenheit der Eingeladenen gewährleistet. Die familiären und persönlichen Verpflichtungen sind daher nicht so beschaffen, dass sie die Gesuchstellerin in nachhaltiger Weise von einer Emigration abhalten könnten.</w:t>
      </w:r>
    </w:p>
    <w:p>
      <w:r>
        <w:rPr>
          <w:b/>
        </w:rPr>
        <w:t>E. 6.2</w:t>
      </w:r>
    </w:p>
    <w:p>
      <w:r>
        <w:t>Aufgrund dieser Ausgangslage ist der wirtschaftlichen Situation der Gesuchstellerin ein besonderes Augenmerk zu widmen. Bezüglich ihrer aktuellen beruflichen Tätigkeit gab sie an, als selbständige "Stylistin" zu arbeiten (vgl. Ziff. 19 des Einreisegesuches; SEM-act. 3/S. 24). In seiner Replik macht der Beschwerdeführer in diesem Zusammenhang geltend, seine Freundin erziele ihre Einkünfte mit ihrem Nagelstudio, Haarstyling sowie dem Verkauf von Körper-Pflegeprodukten. Ausserdem habe sie auch die Möglichkeit, temporär im Hotel eines Bekannten als Bar-Kellnerin zu arbeiten. Allerdings fehlen Unterlagen, die ein regelmässiges Einkommen oder Vermögen der Gesuchstellerin belegen würden. Aufgrund der Aktenlage kann jedenfalls nicht von einer beruflichen Verankerung oder auch nur von vorteilhaften wirtschaftlichen Verhältnissen ausgegangen werden, welche die Gesuchstellerin nachhaltig von einer Emigration abzuhalten vermöchten, zumal der Beschwerdeführer betont, ohne seine finanzielle Unterstützung hätte sich seine Freundin nicht einer Operation im Spital unterziehen oder eine dringende Hausreparatur durchführen können.</w:t>
      </w:r>
    </w:p>
    <w:p>
      <w:r>
        <w:rPr>
          <w:b/>
        </w:rPr>
        <w:t>E. 7</w:t>
      </w:r>
    </w:p>
    <w:p>
      <w:r>
        <w:t>Vor dem dargelegten allgemeinen und persönlichen Hintergrund der Gesuchstellerin durfte die Vorinstanz davon ausgehen, die Wiederausreise der Eingeladenen sei im Sinne der massgeblichen Bestimmungen nicht gesichert. An der Richtigkeit dieser Einschätzung ändert auch die Tatsache nichts, dass der Beschwerdeführer, welcher gemäss den eingereichten Unterlagen fraglos über einen guten Leumund verfügt, mit der gegenüber der kantonalen Migrationsbehörde abgegebenen Verpflichtungserklärung sein Vertrauen in ein rechtskonformes Verhalten seines Gastes zum Ausdruck gebracht hat. Bei der Risikobeurteilung ist aber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Insofern erweist sich der Vorschlag des Beschwerdeführers, eine Geldsumme als Kaution zu hinterlegen, als unbehelflich. Der (durchaus verständliche) Wunsch des Beschwerdeführers, seiner guten Bekannten aus der Dominikanischen Republik sein Lebensumfeld in der Schweiz zeigen zu können, hat demnach in den Hintergrund zu treten. Als Schweizerbürger steht ihm weiterhin die Möglichkeit offen, die Gesuchstellerin wie bis anhin in deren Heimatland zu besuchen.</w:t>
      </w:r>
    </w:p>
    <w:p>
      <w:r>
        <w:rPr>
          <w:b/>
        </w:rPr>
        <w:t>E. 8</w:t>
      </w:r>
    </w:p>
    <w:p>
      <w:r>
        <w:t>Gestützt auf die obigen Erwägungen ist die angefochtene Verfügung im Lichte von Art. 49 VwVG nicht zu beanstanden. Die Beschwerde ist daher abzuweisen.</w:t>
      </w:r>
    </w:p>
    <w:p>
      <w:r>
        <w:rPr>
          <w:b/>
        </w:rPr>
        <w:t>E. 9</w:t>
      </w:r>
    </w:p>
    <w:p>
      <w:r>
        <w:t>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