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F-3800/2025 vom 2. Juni 2025</w:t>
      </w:r>
    </w:p>
    <w:p>
      <w:r>
        <w:t>Bundesverwaltungsgericht, 2025-06-02, DE</w:t>
      </w:r>
    </w:p>
    <w:p>
      <w:r>
        <w:rPr>
          <w:b/>
        </w:rPr>
        <w:t xml:space="preserve">Quelle: </w:t>
      </w:r>
      <w:r>
        <w:t>https://mcp.opencaselaw.ch/entscheid/bvger_F-3800_2025</w:t>
      </w:r>
    </w:p>
    <w:p>
      <w:r>
        <w:t>FR: TAF F-3800/2025 du 2 juin 2025</w:t>
      </w:r>
    </w:p>
    <w:p>
      <w:r>
        <w:t>IT: TAF F-3800/2025 del 2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Die Vorinstanz hat korrekt erwogen, dass gestützt auf Art. 12 Abs. 2 Dublin-III-VO grundsätzlich Spanien für die Behandlung des Asylgesuchs des Beschwerdeführers zuständig ist, dass das spanische Asylsystem rechtsprechungsgemäss keine systemischen Mängel aufweist (vgl. statt vieler: Urteile des BVGer F-2935/2025 vom 12. Mai 2025 E. 4.1; F-2532/2025 vom 2. Mai 2025 E. 5 m.H.),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Dabei hat sie zu Recht festgestellt, dass die angeblichen Verwandten des Beschwerdeführers in der Schweiz weder als Familienangehörige im Sinn von Art. 2 Bst. g Dublin-III-VO gelten noch mit Blick auf Art. 8 EMRK ein besonderes Abhängigkeitsverhältnis vorliegt. Die vorgebrachten gesundheitlichen Probleme (Heiserkeit, Husten, Glieder- und Ohrenschmerzen, Rötungen der Augen) hat sie berücksichtigt und rechtssprechungskonform gewürdigt. Darüber hinaus hat sie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Spanien angeordnet. Zur näheren Begründung ist auf die ausführlichen vorinstanzlichen Erwägungen zu verweisen.</w:t>
      </w:r>
    </w:p>
    <w:p>
      <w:r>
        <w:rPr>
          <w:b/>
        </w:rPr>
        <w:t>E. 2.2.1</w:t>
      </w:r>
    </w:p>
    <w:p>
      <w:r>
        <w:t>Die Berichte betreffend die Situation von Asylsuchenden in Spanien vermögen nichts daran zu ändern, dass das spanische Asylsystem rechtsprechungsgemäss keine systemischen Schwachstellen aufweist und davon auszugehen ist, dass Gesuchstellende, welche gestützt auf die Dublin-III-VO dorthin überstellt werden, Zugang zum Asylverfahren erhalten. Die erst auf Beschwerdeebene behauptete schwere Depression sowie Suizidalität blieben gänzlich unbelegt. Der Beschwerdeführer hat weder anlässlich des Dublin-Gesprächs noch gegenüber dem medizinischen Personal psychische Probleme erwähnt. Im Übrigen verfügt Spanien über eine ausreichende medizinische Infrastruktur für deren Behandlung (vgl. statt vieler: Urteil des BVGer F-6539/2024 vom 21. September 2024 E. 4.5). Zudem stellt eine allfällige Suizidalität gemäss Rechtsprechung nicht per se ein Vollzugshindernis dar (vgl. Urteil des BGer 2C_221/2020 vom 19. Juni 2020 E. 2 sowie statt vieler Urteil des BVGer F-2669/2025 vom 24. April 2025 E. 4.5). Die Geltendmachung eines Suizidrisikos verpflichtet die Behörden nicht grundsätzlich, von einer Ausschaffung abzusehen (Entscheid des EGMR Al-Zawatia gegen Schweden vom 22. Juni 2010, 50068/08, § 57 f.).</w:t>
      </w:r>
    </w:p>
    <w:p>
      <w:r>
        <w:rPr>
          <w:b/>
        </w:rPr>
        <w:t>E. 2.2.2</w:t>
      </w:r>
    </w:p>
    <w:p>
      <w:r>
        <w:t>Soweit der Beschwerdeführer eine flüchtlingsrechtlich relevante Gefährdung in Äthiopien geltend macht, ist festzuhalten, dass die Prüfung von Fluchtgründen nicht Gegenstand des vorliegenden, einzig auf die Prüfung der Zuständigkeit des für die Durchführung des Asyl- und Wegweisungsverfahrens zuständigen Staates gerichteten Dublin-Verfahrens sein kann (vgl. statt vieler: Urteil des BVGer F-2133/2025 vom 1. April 2025 E. 2.2.2 m.H.), weshalb sich Weiterungen dazu erübrigen. Schliesslich gewährt die Dublin-III-VO den Antragstellenden kein Wahlrecht hinsichtlich des Mitgliedstaates, der ihren Antrag prüfen soll (BVGE 2010/45 E. 8.3 [noch die Dublin-II-VO betreffend]).</w:t>
      </w:r>
    </w:p>
    <w:p>
      <w:r>
        <w:rPr>
          <w:b/>
        </w:rPr>
        <w:t>E. 3</w:t>
      </w:r>
    </w:p>
    <w:p>
      <w:r>
        <w:t>Die angefochtene Verfügung erweist sich als rechtmässig (Art. 106 Abs. 1 AsylG). Die Beschwerde ist abzuweisen. Mit dem vorliegenden Urteil fällt der angeordnete Vollzugsstopp dahin.</w:t>
      </w:r>
    </w:p>
    <w:p>
      <w:r>
        <w:rPr>
          <w:b/>
        </w:rPr>
        <w:t>E. 4</w:t>
      </w:r>
    </w:p>
    <w:p>
      <w:r>
        <w:t>Entsprechend dem Verfahrensausgang sind die Kosten dem unterliegenden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