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F-3796/2021 vom 25. Februar 2022</w:t>
      </w:r>
    </w:p>
    <w:p>
      <w:r>
        <w:t>Bundesverwaltungsgericht, 2022-02-25, FR</w:t>
      </w:r>
    </w:p>
    <w:p>
      <w:r>
        <w:rPr>
          <w:b/>
        </w:rPr>
        <w:t xml:space="preserve">Quelle: </w:t>
      </w:r>
      <w:r>
        <w:t>https://mcp.opencaselaw.ch/entscheid/bvger_F-3796_2021</w:t>
      </w:r>
    </w:p>
    <w:p>
      <w:r>
        <w:t>FR: TAF F-3796/2021 du 25 février 2022</w:t>
      </w:r>
    </w:p>
    <w:p>
      <w:r>
        <w:t>IT: TAF F-3796/2021 del 25 febbraio 2022</w:t>
      </w:r>
    </w:p>
    <w:p>
      <w:pPr>
        <w:pStyle w:val="Heading2"/>
      </w:pPr>
      <w:r>
        <w:t>Regeste</w:t>
      </w:r>
    </w:p>
    <w:p>
      <w:r>
        <w:t>Visa Schengen</w:t>
      </w:r>
    </w:p>
    <w:p>
      <w:pPr>
        <w:pStyle w:val="Heading2"/>
      </w:pPr>
      <w:r>
        <w:t>Erwägungen</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concernée (cf. ATAF 2014/1 consid. 6.1 à 6.3). Selon la jurisprudence, un visa peut seulement être octroyé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F-3858/2018 précité consid. 5.2, et la jurisprudence citée).</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et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w:t>
      </w:r>
    </w:p>
    <w:p>
      <w:r>
        <w:rPr>
          <w:b/>
        </w:rPr>
        <w:t>E. 6.3</w:t>
      </w:r>
    </w:p>
    <w:p>
      <w:r>
        <w:t>Ces éléments d'appréciation doivent en outre être examinés dans le contexte de la situation générale prévalant dans le pays de provenance de l'intéressé, dans la mesure où il ne peut être exclu qu'une situation moins favorisée sur les plans politique, sécuritaire ou socio-économique que celle que connaît la Suisse puisse influencer le comportement de la personne invitée. Lors de l'examen de demandes de visa émanant de personnes provenant de pays ou de régions connaissant une situation politique, sécuritaire ou socio-économique difficile, il se justifie en effet d'appliquer une pratique restrictive, dans la mesure où les intérêts privés de telles personnes s'avèrent souvent incompatibles avec le but et l'esprit d'une autorisation d'entrée limitée dans le temps (cf. ATAF 2014/1 consid. 6.1). Il s'impose de relever cependant que ces éléments de nature économique ne sauraient être à eux seuls déterminants et qu'il convient de prendre en considération les particularités des cas d'espèce (cf. ATAF 2009/27 précité consid. 7 et 8).</w:t>
      </w:r>
    </w:p>
    <w:p>
      <w:r>
        <w:rPr>
          <w:b/>
        </w:rPr>
        <w:t>E. 7.1</w:t>
      </w:r>
    </w:p>
    <w:p>
      <w:r>
        <w:t>En l'occurrence, l'autorité inférieure a, en premier lieu, refusé d'autoriser l'entrée en Suisse de Y._______au motif que son départ à l'échéance du visa sollicité n'apparaissait pas suffisamment garanti compte tenu de la situation personnelle du prénommé et de la situation socio-économique prévalant au Pakistan.</w:t>
      </w:r>
    </w:p>
    <w:p>
      <w:r>
        <w:rPr>
          <w:b/>
        </w:rPr>
        <w:t>E. 7.2</w:t>
      </w:r>
    </w:p>
    <w:p>
      <w:r>
        <w:t>Le Tribunal ne saurait d'emblée écarter les craintes émises par l'autorité intimée. En effet, il y a lieu de constater, à l'instar du SEM, que les conditions socio-économiques et sécuritaires prévalant au Pakistan peuvent générer une certaine pression migratoire (cf. Département fédéral des affaires étrangères [DFAE], en ligne sur son site: www.eda.admin.ch &gt; Conseils aux voyageurs &amp; représentations - Pakistan, dernière mise à jour du 2 décembre 2021; cf. également Ministère français des affaires étrangères, en ligne sur son site: www.diplomatie.gouv.fr &gt; Conseils aux voyageurs &gt; Pakistan Sécurité, dernière mise à jour du 4 février 2022, sites consultés en février 2022, ainsi que l'arrêt TAF F-5990/2019 du 31 août 2020 consid. 6).</w:t>
      </w:r>
    </w:p>
    <w:p>
      <w:r>
        <w:rPr>
          <w:b/>
        </w:rPr>
        <w:t>E. 7.3</w:t>
      </w:r>
    </w:p>
    <w:p>
      <w:r>
        <w:t>Toutefois,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et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w:t>
      </w:r>
    </w:p>
    <w:p>
      <w:r>
        <w:rPr>
          <w:b/>
        </w:rPr>
        <w:t>E. 8</w:t>
      </w:r>
    </w:p>
    <w:p>
      <w:r>
        <w:t>Il convient dès lors d'examiner si la situation notamment personnelle, familiale, professionnelle et patrimoniale de l'invité plaide en faveur de sa sortie ponctuelle de Suisse, respectivement de l'Espace Schengen, au terme du séjour envisagé.</w:t>
      </w:r>
    </w:p>
    <w:p>
      <w:r>
        <w:rPr>
          <w:b/>
        </w:rPr>
        <w:t>E. 8.1</w:t>
      </w:r>
    </w:p>
    <w:p>
      <w:r>
        <w:t>En l'espèce, le Tribunal relève tout d'abord que l'invité, qui a passé la majeure partie de sa vie au Pakistan où il vit depuis 49 ans, est un entrepreneur indépendant qui gère ses affaires depuis 2001 et possède deux commerces et son propre logement (cf. baux commerciaux, attestations de paiement des loyers commerciaux, attestation de transfert de propriété, relevés bancaires et avis de taxation fiscale joints à la demande de visa). Comme l'a relevé le SEM dans la décision querellée (cf. p. 5), le requérant semble jouir d'une bonne situation professionnelle dans son pays d'origine. Il s'ensuit que ce dernier ne présente pas, de prime abord, un profil migratoire à risque, puisqu'il apparaît en effet peu probable que l'intéressé choisisse, à son âge, de s'exiler dans un environnement qui lui est totalement étranger et dont il ne maîtrise même pas la langue. Sur le plan familial, il est à constater que le requérant est veuf depuis deux ans (cf. certificat de décès du 21 janvier 2020), qu'il est le père de deux enfants, dont un encore mineur (cf. certificat de famille du 28 octobre 2015), qui partagent leur temps entre le Pakistan et le Royaume-Uni, où ils complètent leurs études et y retrouvent leurs grands-parents. De plus, il s'est fiancé récemment et envisage de se remarier dans sa patrie (cf. recours, p. 3). Par ailleurs, selon les copies des anciens passeports de l'invité figurant au dossier, ce dernier a obtenu à deux reprises, soit en 2010 et 2012, un visa pour le Royaume-Uni, ainsi qu'un visa pour la Malaisie, délivré en mars 2008. Il ressort des timbres humides contenus dans ces passeports qu'il a également séjourné au Qatar et aux Emirats arabes unis en 2008 et 2010 et qu'il n'est pas resté dans un pays au-delà de la validité des visas qui lui avaient été délivrés. Ces éléments tendent, dans une certaine mesure, à relativiser le risque que l'invité prolonge sa présence au-delà de son séjour envisagé en Suisse et permettent de considérer que ce dernier manifeste l'intention de respecter l'ordre juridique suisse en quittant le territoire national à l'échéance d'un visa. En revanche, le fait que l'invitant se soit porté garant du départ ponctuel de l'invité n'est pas décisif à cet égard (cf., à ce sujet, notamment arrêts du TAF F-5701/2018 du 9 octobre 2019 consid. 8.5 et F-4669/2017 du 17 mai 2019 consid. 6.6.1). Cela étant, il appert qu'un refus d'octroi d'un visa en faveur du requérant ne tient pas suffisamment compte de sa situation personnelle et s'avère disproportionné. Sur le principe, un visa pour une visite familiale doit donc pouvoir lui être délivré.</w:t>
      </w:r>
    </w:p>
    <w:p>
      <w:r>
        <w:rPr>
          <w:b/>
        </w:rPr>
        <w:t>E. 8.2</w:t>
      </w:r>
    </w:p>
    <w:p>
      <w:r>
        <w:t>S'agissant encore des doutes émis par le SEM, dans la décision querellée, concernant le but réel du séjour envisagé en Suisse par l'invité, il ressort clairement de l'opposition, du recours et des attestations médicales jointes que l'hôte en Suisse souffre d'une insuffisance rénale terminale nécessitant une greffe rénale, qui a été programmée au mois de septembre 2021. Les médecins spécialistes qui suivent l'invitant ont par ailleurs souligné que la présence de membres de sa famille lui apportant un soutien moral est importante (cf. en ce sens certificat médical du 20 juin 2021). Certes, l'autorité inférieure a indiqué, à raison, que l'aide que pourrait apporter l'invité durant le traitement médical et la convalescence de son frère pourrait être considérée comme une activité lucrative soumise à autorisation (cf. art. 11 al. 1 et 2 LEI) sortant du cadre de la réglementation d'exception s'appliquant à la parenté en ligne descendante ou ascendante dans certains cas (par ex. garde d'enfants dans le cadre d'un séjour aux fins de tourisme ou de visite). Toutefois, le Tribunal estime que, dans le cas d'espèce, le but de la visite est clairement d'ordre familial, dans l'optique de soutenir moralement le convalescent, à la suite d'une opération lourde et nécessitant assurément un suivi intense. L'invité est par ailleurs dûment averti qu'il ne saurait apporter une aide autre qu'au plan moral dans les activités quotidiennes de son hôte.</w:t>
      </w:r>
    </w:p>
    <w:p>
      <w:r>
        <w:rPr>
          <w:b/>
        </w:rPr>
        <w:t>E. 8.3</w:t>
      </w:r>
    </w:p>
    <w:p>
      <w:r>
        <w:t>Toutefois, la durée du visa sollicité (90 jours ; cf. formulaire de demande de visa, lettre d'invitation du 2 juin 2021 et recours) apparaît excessive au vu du but poursuivi et des implications qu'une telle période d'absence pourrait avoir sur la gestion des commerces de l'invité, malgré les allégations contenues dans le recours concernant la prise en charge des affaires courantes par les employés de l'invité (cf. recours, p. 3). Au vu de ce qui précède, le Tribunal estime qu'une durée de 30 jours est suffisante, en l'espèce, pour permettre à l'invité de rendre visite à son frère (cf. en ce sens arrêts du TAF F-4669/2017 du 17 mai 2019 consid. 6.7 et F-5661/2017 du 14 mars 2018 consid. 8). De plus, pour garantir un retour ponctuel de l'intéressé dans son pays d'origine, l'octroi du visa devra être conditionné au versement préalable par le recourant d'une caution, comme l'a proposé ce dernier dans son recours (cf. p. 5). Cette caution, dont le montant est arrêté à 30'000 francs, devra être déposée auprès d'un établissement bancaire qui sera désigné par l'autorité cantonale compétente en matière de migration, c'est-à-dire, en l'occurrence, le Service de la population du canton de Vaud (ci-après : le SPOP ; cf. en ce sens arrêts du TAF F-1022/2019 du 14 février 2020 consid. 9.1, F-5701/2018 du 9 octobre 2019 consid. 8.6 et F-4669/2017 du 17 mai 2019 consid. 6.7). Par la prise de telles mesures, le risque résiduel de non-retour de l'invité dans son pays d'origine reste acceptable. C'est le lieu de rappeler ici que le non-respect des termes et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 ces personnes (art. 115 à 122 LEI), ainsi qu'une interdiction d'entrée en Suisse à l'endroit de la personne invitée (art. 67 LEI).</w:t>
      </w:r>
    </w:p>
    <w:p>
      <w:r>
        <w:rPr>
          <w:b/>
        </w:rPr>
        <w:t>E. 8.4</w:t>
      </w:r>
    </w:p>
    <w:p>
      <w:r>
        <w:t>Au vu de ce qui précède, le recours est partiellement admis et la décision du 27 juillet 2021 annulée. La cause est renvoyée à l'autorité inférieure, qui est invitée à autoriser l'entrée en Suisse du requérant dans le but d'accomplir une visite d'ordre familial d'une durée de 30 jours, après avoir déterminé, notamment, si l'invité dispose d'une assurance médicale de voyage conforme aux exigences légales, avoir obtenu une déclaration de prise en charge en bonne et due forme et avoir vérifié que le recourant ait versé une caution de 30'000 francs auprès de l'établissement bancaire qui aura été désigné par le SPOP.</w:t>
      </w:r>
    </w:p>
    <w:p>
      <w:r>
        <w:rPr>
          <w:b/>
        </w:rPr>
        <w:t>E. 9.1</w:t>
      </w:r>
    </w:p>
    <w:p>
      <w:r>
        <w:t>Le recourant obtenant partiellement gain de cause, il y a lieu de mettre des frais réduits à sa charge, à hauteur de Fr. 400.- (cf. art. 63 al. 1 PA en relation avec les art. 1 à 3 du règlement du 21 février 2008 concernant les frais, dépens et indemnités fixés par le Tribunal administratif fédéral [FITAF, RS 173.320.2]). Ce dernier ayant versé une avance de frais de 800 francs en date du 2 septembre 2021, un montant de 400 francs lui sera restitué. Bien qu'elle succombe partiellement, l'autorité inférieure n'a pas à supporter de frais de procédure (art. 63 al. 2 PA).</w:t>
      </w:r>
    </w:p>
    <w:p>
      <w:r>
        <w:rPr>
          <w:b/>
        </w:rPr>
        <w:t>E. 9.2</w:t>
      </w:r>
    </w:p>
    <w:p>
      <w:r>
        <w:t>L'autorité de recours peut allouer, d'office ou sur requête, à la partie ayant entièrement ou partiellement gain de cause, une indemnité pour les frais indispensables et relativement élevés qui lui ont été occasionnés (cf. art. 64 al. 1 PA et art. 7 al. 1 FITAF). Dans le cas particulier, il convient toutefois de relever que le recourant a agi seul. La présente procédure de recours ne lui a dès lors pas occasionné des frais élevés, de sorte qu'il ne saurait prétendre à l'octroi de dépens (cf. l'art. 64 al. 1 LEI en relation avec l'art.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