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F-3769/2020 vom 18. November 2020</w:t>
      </w:r>
    </w:p>
    <w:p>
      <w:r>
        <w:t>Bundesverwaltungsgericht, 2020-11-18, DE</w:t>
      </w:r>
    </w:p>
    <w:p>
      <w:r>
        <w:rPr>
          <w:b/>
        </w:rPr>
        <w:t xml:space="preserve">Quelle: </w:t>
      </w:r>
      <w:r>
        <w:t>https://mcp.opencaselaw.ch/entscheid/bvger_F-3769_2020</w:t>
      </w:r>
    </w:p>
    <w:p>
      <w:r>
        <w:t>FR: TAF F-3769/2020 du 18 novembre 2020</w:t>
      </w:r>
    </w:p>
    <w:p>
      <w:r>
        <w:t>IT: TAF F-3769/2020 del 18 novembre 2020</w:t>
      </w:r>
    </w:p>
    <w:p>
      <w:pPr>
        <w:pStyle w:val="Heading2"/>
      </w:pPr>
      <w:r>
        <w:t>Regeste</w:t>
      </w:r>
    </w:p>
    <w:p>
      <w:r>
        <w:t>Erleichterte Einbürgerung</w:t>
      </w:r>
    </w:p>
    <w:p>
      <w:pPr>
        <w:pStyle w:val="Heading2"/>
      </w:pPr>
      <w:r>
        <w:t>Erwägungen</w:t>
      </w:r>
    </w:p>
    <w:p>
      <w:r>
        <w:rPr>
          <w:b/>
        </w:rPr>
        <w:t>E. 1.1</w:t>
      </w:r>
    </w:p>
    <w:p>
      <w:r>
        <w:t>Verfügungen der Vorinstanz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(vgl. Art. 48 Abs. 1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Wer eine ausländische Staatsangehörigkeit besitzt, kann nach der Eheschliessung mit einer Schweizerin oder einem Schweizer ein Gesuch um erleichterte Einbürgerung stellen, wenn sie oder er seit drei Jahren in ehelicher Gemeinschaft mit dem Ehemann oder der Ehefrau lebt und sich insgesamt fünf Jahre in der Schweiz aufgehalten hat, wovon ein Jahr unmittelbar vor Einreichung des Gesuchs (Art. 21 Abs. 1 BüG). Die erleichterte Einbürgerung setzt in materieller Hinsicht voraus, dass die gesuchstellende Person erfolgreich integriert ist sowie die innere oder äussere Sicherheit der Schweiz nicht gefährdet (Art. 20 Abs. 1 und 2 BüG). Eine erfolgreiche Integration zeigt sich nach Art. 12 Abs. 1 BüG insbesondere im Beachten der öffentlichen Sicherheit und Ordnung (Bst. a), in der Respektierung der Werte der Bundesverfassung (Bst. b), in der Fähigkeit, sich im Alltag in Wort und Schrift in einer Landessprache zu verständigen (Bst. c), in der Teilnahme am Wirtschaftsleben oder am Erwerb von Bildung (Bst. d) und in der Förderung und Unterstützung der Integration der Ehefrau oder des Ehemannes, der eingetragenen Partnerin oder des eingetragenen Partners oder der minderjährigen Kinder, über welche die elterliche Sorge ausgeübt wird (Bst. e). Alle Einbürgerungsvoraussetzungen müssen sowohl im Zeitpunkt der Gesuchseinreichung als auch anlässlich der Einbürgerung erfüllt sein (BGE 140 II 65 E. 2.1).</w:t>
      </w:r>
    </w:p>
    <w:p>
      <w:r>
        <w:rPr>
          <w:b/>
        </w:rPr>
        <w:t>E. 3.2</w:t>
      </w:r>
    </w:p>
    <w:p>
      <w:r>
        <w:t>Aus dem Erfordernis des Beachtens der öffentlichen Sicherheit und Ordnung folgt, dass die gesuchstellende Person einen guten straf- und betreibungsrechtlichen Leumund haben muss. Seit Inkrafttreten des neuen Bürgerrechtsgesetzes vom 20. Juni 2014 am 1. Januar 2018 wird bei der Beurteilung von strafrechtlich relevantem Verhalten nicht mehr auf den Privatauszug des Strafregisters, sondern auf das für die Behörden einsehbare Strafregister-Informationssystem VOSTRA abgestellt (Barbara von Rütte, Das neue Bürgerrechtsgesetz, Anwaltsrevue 5/2017 S. 207). Eine Bewerberin oder ein Bewerber gilt unter anderem dann als nicht erfolgreich integriert, wenn im VOSTRA eine sie oder ihn betreffende, in Art. 4 Abs. 2 der Bürgerrechtsverordnung vom 17. Juni 2016 (BüV, SR 141.01) aufgelistete Verfehlung verzeichnet ist (Art. 12 Abs. 1 Bst. a BüG i.V.m. Art. 4 BüV; siehe auch SEM, Handbuch Bürgerrecht für Gesuche ab 1.1.2018, 13.07.2020, Kapitel 4 S. 18).</w:t>
      </w:r>
    </w:p>
    <w:p>
      <w:r>
        <w:rPr>
          <w:b/>
        </w:rPr>
        <w:t>E. 3.3</w:t>
      </w:r>
    </w:p>
    <w:p>
      <w:r>
        <w:t>Gemäss Behördenauszug aus dem Schweizerischen Strafregister vom 26. Mai 2020 wurde der Beschwerdeführer von der Staatsanwaltschaft C._______ bis am 10. April 2017 wegen Beschäftigung von Ausländerinnen und Ausländern ohne Bewilligung zu einer bedingt vollziehbaren Geldstrafe von 120 Tagessätzen zu Fr. 50.-, unter Ansetzung einer Probezeit von zwei Jahren, sowie zu einer Busse von Fr. 1'000.- rechtskräftig verurteilt. Eine bedingte Geldstrafe von mehr als 90 Tagessätzen stellt selbst nach Ablauf der Probezeit ein Einbürgerungshindernis dar (vgl. Art. 4 Abs. 2 Bst. d BüV). Ein Einbürgerungsgesuch kann in einem solchen Fall erst eingereicht werden, wenn die Strafe aus dem Behördenauszug gelöscht worden ist, wobei die Entfernungsfrist 10 Jahre ab Rechtskraft des Urteils beträgt (Art. 12 Abs. 1 Bst. a der VOSTRA-Verordnung vom 29. September 2006 [SR 331] i.V.m. Art. 369 Abs. 3 und Abs. 6 Bst. a StGB). Vorliegend ist die für die Löschung erforderliche Frist nicht verstrichen, weshalb die im Behördenauszug eingetragene Verfehlung einer Einbürgerung entgegensteht.</w:t>
      </w:r>
    </w:p>
    <w:p>
      <w:r>
        <w:rPr>
          <w:b/>
        </w:rPr>
        <w:t>E. 3.4</w:t>
      </w:r>
    </w:p>
    <w:p>
      <w:r>
        <w:t>Mit seinem Vorbringen auf Beschwerdeebene, er sei des Straftatbestandes der Beschäftigung von Ausländerinnen und Ausländern ohne Bewilligung nicht schuldig, da er sich während des Vorfalls selbst nicht in seinem Friseursalon aufgehalten habe, geht der Beschwerdeführer fehl. Bereits die Grundsätze der Einheit der Rechtsordnung sowie der Rechtssicherheit gebieten, dass das Bundesverwaltungsgericht den Sachverhalt rechtlich nicht abweichend vom Strafbefehl der Staatsanwaltschaft C._______ vom 10. April 2017 würdigt (vgl. BGE 139 II 95 E. 3.2; 137 II 363 E. 2.3.3). Ungeachtet davon sind vorliegend aber auch keine sachlichen Gründe ersichtlich, um von den Erkenntnissen der Strafverfolgungsbehörde abzuweichen (vgl. BGE 136 II 447 E. 3.1). Insoweit der Beschwerdeführer seine erfolgreiche Integration sowie den Ablauf der Probezeit anführt und hiermit die Anwendung von Art. 4 Abs. 3 BüV verlangt, ist darauf hinzuweisen, dass seine Verfehlung - wie in den vorstehenden Erwägungen ausgeführt - in den Anwendungsbereich von Absatz 2 desselben Artikels fällt und er demzufolge als nicht erfolgreich integriert gilt. Weiter bringt er vor, jeder Mensch mache Fehler und es gelte hierbei zu unterscheiden, ob eine Verfehlung unbeabsichtigt und einmal oder aber vorsätzlich und wiederholt begangen werde. Vorliegend handle es sich nicht um einen absichtlichen Verstoss und es sei im Übrigen bei diesem einmaligen Vorfall geblieben. Mit diesem Einwand verkennt der Beschwerdeführer, dass er selbst mit seiner einmaligen Delinquenz gegen die öffentliche Sicherheit und Ordnung verstossen hat, da er gemäss Bürgerrechtsverordnung eine Straftat von einer gewissen Schwere begangen hat.</w:t>
      </w:r>
    </w:p>
    <w:p>
      <w:r>
        <w:rPr>
          <w:b/>
        </w:rPr>
        <w:t>E. 3.5</w:t>
      </w:r>
    </w:p>
    <w:p>
      <w:r>
        <w:t>Nach dem Gesagten erfüllt der Beschwerdeführer das Integrationskriterium der Beachtung der öffentlichen Sicherheit und Ordnung gemäss Art. 20 Abs. 1 i.V.m. Art. 12 Abs. 1 Bst. a BüG somit nicht, und es sind nicht alle materiellen Voraussetzungen für eine erleichterte Einbürgerung gemäss Art. 20 BüG gegeben.</w:t>
      </w:r>
    </w:p>
    <w:p>
      <w:r>
        <w:rPr>
          <w:b/>
        </w:rPr>
        <w:t>E. 4</w:t>
      </w:r>
    </w:p>
    <w:p>
      <w:r>
        <w:t>Zusammenfassend erweist sich die angefochtene Verfügung somit im Lichte von Art. 49 VwVG als rechtmässig. Die Beschwerde ist entsprechend abzuweisen.</w:t>
      </w:r>
    </w:p>
    <w:p>
      <w:r>
        <w:rPr>
          <w:b/>
        </w:rPr>
        <w:t>E. 5</w:t>
      </w:r>
    </w:p>
    <w:p>
      <w:r>
        <w:t>Bei diesem Ausgang des Verfahrens sind die Verfahrenskosten dem Beschwerdeführer aufzuerlegen und auf Fr. 1'200.- festzusetzen (Art. 63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