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F-3765/2025 vom 6. Juni 2025</w:t>
      </w:r>
    </w:p>
    <w:p>
      <w:r>
        <w:t>Bundesverwaltungsgericht, 2025-06-06, DE</w:t>
      </w:r>
    </w:p>
    <w:p>
      <w:r>
        <w:rPr>
          <w:b/>
        </w:rPr>
        <w:t xml:space="preserve">Quelle: </w:t>
      </w:r>
      <w:r>
        <w:t>https://mcp.opencaselaw.ch/entscheid/bvger_F-3765_2025</w:t>
      </w:r>
    </w:p>
    <w:p>
      <w:r>
        <w:t>FR: TAF F-3765/2025 du 6 juin 2025</w:t>
      </w:r>
    </w:p>
    <w:p>
      <w:r>
        <w:t>IT: TAF F-3765/2025 del 6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Die Beschwerde wurde rechtzeitig eingereicht (Art. 108 Abs. 3 AsylG). Betreffend die übrigen Eintretensvoraussetzungen (Art. 48 Abs. 1 VwVG, Art. 52 VwVG) stellt sich die Frage, ob die Rechtsbegehren der Beschwerdeführerin den Anforderungen von Art. 52 Abs. 1 VwVG genügen. Gemäss dieser Bestimmung hat die Beschwerdeschrift unter anderem die Begehren zu enthalten. Diesem Erfordernis ist Genüge getan, wenn aus der Beschwerde zumindest implizit ersichtlich ist, in welchen Punkten die angefochtene Verfügung beanstandet wird (vgl. André Moser, in: Auer/Müller/Schindler [Hrsg.], VwVG-Kommentar, 2 Aufl. 2019, Art. 52 N. 1). Die Vorinstanz hat gestützt auf Art. 31a Abs. 1 Bst. b AsylG i.V.m. Art. 44 AsylG einen Nichteintretens- und Wegweisungsentscheid erlassen. Die sinngemäss gestellten Rechtsbegehren der Beschwerdeführerin zielen jedoch auf die Gewährung von Asyl ab, befinden sich somit ausserhalb des Anfechtungsgegenstands und sind folglich unzulässig. Auf sie ist nicht einzutreten. Die Beschwerdeführerin handelte jedoch ohne Rechtsvertretung und aus der Beschwerdeschrift ist ersichtlich, dass sie sich der Überstellung in die Niederlande widersetzen wollte. Zu ihren Gunsten ist demnach davon auszugehen, dass sie die Aufhebung der angefochtenen Verfügung und das Eintreten auf ihr Asylgesuch beantragen wollte. Dabei handelt es sich um ein zulässiges Rechtsbegehren, zu dessen Erhebung die Beschwerdeführerin gemäss Art. 48 Abs. 1 VwVG legitimiert ist. Auf die Beschwerde ist insofern einzutreten.</w:t>
      </w:r>
    </w:p>
    <w:p>
      <w:r>
        <w:rPr>
          <w:b/>
        </w:rPr>
        <w:t>E. 1.2</w:t>
      </w:r>
    </w:p>
    <w:p>
      <w:r>
        <w:t>Das Gericht entscheidet über die Beschwerde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Abs. 2 Dublin-III-VO grundsätzlich die Niederlande für die Behandlung des Asylgesuchs der Beschwerdeführerin zuständig sind (da die Beschwerdeführerin zum Zeitpunkt des ersten Antrags auf internationalen Schutz noch über ein gültiges Visum in den Niederlanden verfügt hat; vgl. Art. 7 Abs. 2 Dublin-III-VO), dass das niederländische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der Beschwerdeführerin im Hinblick auf die schlechte Behandlung durch ihre Arbeitgeberin im Rahmen ihrer Tätigkeit als Au-pair sowie ihre gesundheitlichen Beeinträchtigungen (gemäss eigener Aussage Reizdarmsyndrom)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Beschwerdeführerin nicht eingetreten und hat in Anwendung von Art. 44 AsylG ihre Wegweisung in die Niederlande angeordnet. Zur näheren Begründung wird auf die Erwägungen der Vorinstanz verwiesen.</w:t>
      </w:r>
    </w:p>
    <w:p>
      <w:r>
        <w:rPr>
          <w:b/>
        </w:rPr>
        <w:t>E. 2.2</w:t>
      </w:r>
    </w:p>
    <w:p>
      <w:r>
        <w:t>Was die Beschwerdeführerin auf Rechtsmittelebene vorbringt, vermag an der Richtigkeit der angefochtenen Verfügung nichts zu ändern. Die Vorbringen der Beschwerdeführerin, wonach ihre Arbeitgeberin sie ausgenutzt habe, sie keinen Ort zum Schlafen gehabt habe, ihre ehemalige Arbeitgeberin nicht ruhen werde, bis diese sie - die Beschwerdeführerin - gefunden habe und das Zurückkehren in die Niederlande mit ihrem Tod gleichzusetzen sei, blieben gänzlich unsubstantiiert und werden nicht belegt. Diesbezüglich ist festzuhalten, dass die Niederlande ein funktionierender Rechtsstaat sind und die Behörden gewillt und fähig sind, staatlichen Schutz zu gewähren. Es bestehen keine konkreten Hinweise, wonach die niederländische Polizei der Beschwerdeführerin - bei Bedarf - den erforderlichen Schutz verweigern würde.</w:t>
      </w:r>
    </w:p>
    <w:p>
      <w:r>
        <w:rPr>
          <w:b/>
        </w:rPr>
        <w:t>E. 3</w:t>
      </w:r>
    </w:p>
    <w:p>
      <w:r>
        <w:t>Nach dem Gesagten ist die angefochtene Verfügung vom 19. Mai 2025 nicht zu beanstanden und die Beschwerde ist abzuweisen, soweit darauf einzutreten ist.</w:t>
      </w:r>
    </w:p>
    <w:p>
      <w:r>
        <w:rPr>
          <w:b/>
        </w:rPr>
        <w:t>E. 4</w:t>
      </w:r>
    </w:p>
    <w:p>
      <w:r>
        <w:t>Mit vorliegendem Urteil fällt der am 26. Mai 2025 angeordnete Vollzugsstopp dahin.</w:t>
      </w:r>
    </w:p>
    <w:p>
      <w:r>
        <w:rPr>
          <w:b/>
        </w:rPr>
        <w:t>E. 5</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