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F-3759/2023 vom 20. Juni 2023</w:t>
      </w:r>
    </w:p>
    <w:p>
      <w:r>
        <w:t>Bundesverwaltungsgericht, 2023-06-20, DE</w:t>
      </w:r>
    </w:p>
    <w:p>
      <w:r>
        <w:rPr>
          <w:b/>
        </w:rPr>
        <w:t xml:space="preserve">Quelle: </w:t>
      </w:r>
      <w:r>
        <w:t>https://mcp.opencaselaw.ch/entscheid/bvger_F-3759_2023_d20230620</w:t>
      </w:r>
    </w:p>
    <w:p>
      <w:r>
        <w:t>FR: TAF F-3759/2023 du 20 juin 2023</w:t>
      </w:r>
    </w:p>
    <w:p>
      <w:r>
        <w:t>IT: TAF F-3759/2023 del 20 giugno 2023</w:t>
      </w:r>
    </w:p>
    <w:p>
      <w:pPr>
        <w:pStyle w:val="Heading2"/>
      </w:pPr>
      <w:r>
        <w:t>Regeste</w:t>
      </w:r>
    </w:p>
    <w:p>
      <w:r>
        <w:t>Schengen-Visum | Schengen-Visum zu Besuchszwecken; Verfügung des SEM vom 20. Juni 2023</w:t>
      </w:r>
    </w:p>
    <w:p>
      <w:pPr>
        <w:pStyle w:val="Heading2"/>
      </w:pPr>
      <w:r>
        <w:t>Erwägungen</w:t>
      </w:r>
    </w:p>
    <w:p>
      <w:r>
        <w:rPr>
          <w:b/>
        </w:rPr>
        <w:t>E. 1.1</w:t>
      </w:r>
    </w:p>
    <w:p>
      <w:r>
        <w:t>Einspracheentscheide des SEM betreffend Schengen-Visa sind mit Be- schwerde beim Bundesverwaltungsgericht anfechtbar (Art. 112 Abs. 1 AIG [SR 142.20] i.V.m. Art. 31 ff. VGG). Das Bundesverwaltungsgericht ent- scheidet in diesem Bereich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ist als Gastgeber der Gesuchstellerinnen durch den angefochtenen Entscheid besonders berührt. Obwohl der ursprünglich angestrebte Besuchszeitraum inzwischen abgelaufen ist, kann – nicht zu- letzt angesichts der Einreichung des Rechtsmittels – auf ein fortbestehen- des Rechtsschutzinteresse geschlossen werden. Der Beschwerdeführer ist daher zur Erhebung des Rechtsmittels legitimiert (Art. 48 Abs. 1 VwVG). Auf die im Übrigen frist- und formgerecht eingereichte Beschwerde ist ein- zutreten (vgl. Art. 50 Abs. 1 und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Dem angefochtenen Entscheid liegen die Gesuche zweier indischer Staatsangehöriger um Erteilung eines Visums zu Besuchszwecken für die Schweiz zugrunde. Da sie sich als sogenannte Drittstaatsangehörige nicht aus eigenem und vorliegend auch nicht aus abgeleitetem Recht auf die EU/EFTA-Personenfreizügigkeitsabkommen berufen können und die be- absichtigte Aufenthaltsdauer 90 Tage innerhalb eines Zeitraums von 180 Tagen nicht überschreitet, fällt die vorliegende Streitsache in den</w:t>
      </w:r>
    </w:p>
    <w:p>
      <w:r>
        <w:t>F-3759/2023 Seite 4 persönlichen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w:t>
      </w:r>
    </w:p>
    <w:p>
      <w:r>
        <w:t>F-3759/2023 Seite 5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 grund internationaler Verpflichtungen für erforderlich hält, vom Grundsatz abzuweichen, dass die in Art. 6 Abs. 1 Bst. a, c, d und e SGK festgelegten Einreisevoraussetzungen erfüllt sein müssen (Art. 25 Abs. 1 Bst. a Ziff. i VK).</w:t>
      </w:r>
    </w:p>
    <w:p>
      <w:r>
        <w:rPr>
          <w:b/>
        </w:rPr>
        <w:t>E. 5.1</w:t>
      </w:r>
    </w:p>
    <w:p>
      <w:r>
        <w:t>Indische Staatsangehörige in der Situation der Gesuchstellerinnen un- terstehen der Visumpflicht (Art. 3 Abs. 1 der Verordnung (EU) 2018/1806 i.V.m. deren Anhang I Ziff. 1). Die Erteilung der Visa wurde ihnen auf Ein- sprache hin verweigert, weil begründete Zweifel an der Absicht, das Ho- heitsgebiet der Mitgliedstaaten vor Ablauf des Visums zu verlassen, sowie an den Gründen für den geplanten Aufenthalt bestünden. Damit wurde auf den Verweigerungsgrund des Art. 32 Abs. 1 Bst. b VK Bezug genommen,</w:t>
      </w:r>
    </w:p>
    <w:p>
      <w:r>
        <w:t>F-3759/2023 Seite 6 demgemäss das Visum der gesuchstellenden Person zu verweigern ist, «wenn begründete Zweifel (…) an der Glaubwürdigkeit (ihrer) Aussagen oder der von (ihr) bekundeten Absicht bestehen, das Hoheitsgebiet der Mit- gliedstaaten vor Ablauf der Gültigkeit des beantragten Visums zu verlas- sen.»</w:t>
      </w:r>
    </w:p>
    <w:p>
      <w:r>
        <w:rPr>
          <w:b/>
        </w:rPr>
        <w:t>E. 5.2</w:t>
      </w:r>
    </w:p>
    <w:p>
      <w:r>
        <w:t>Bei der Beurteilung des Kriteriums der gesicherten Wiederausreise muss ein zukünftiges Verhalten beurteilt werden, wozu nur Prognosen ge- troffen werden können. Dabei sind sämtliche Umstände des konkreten Ein- zelfalls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Betreffend die allgemeinen Verhältnisse in Indien ist Folgendes festzu- halten: Mit mehr als 1,4 Milliarden Einwohnern ist Indien das bevölkerungs- reichste Land der Welt und die fünftgrösste Volkswirtschaft (&lt; https://www.bmz.de &gt; Länder &gt; Indien, abgerufen am 28.01.2024). Laut dem Index der mehrdimensionalen Armut von 2022 verringerte sich der Anteil der Armen in Indien zwischen 2005 und 2021 von 55 auf etwa 16 Prozent (Global Multidimensional Poverty Index 2022, S. 19, &lt; https://hdr.undp.org/content/2022-global-multidimensional-poverty-in- dex-mpi#/indicies/MPI &gt;, abgerufen am 28.01.2024). Einer wachsenden Mittel- und Oberschicht standen jedoch 2022 immer noch rund 180 Millio- nen Menschen gegenüber, die umgerechnet mit weniger als 2,15 US-Dol- lar pro Tag auskommen müssen. Die Corona-Pandemie und ihre Folgen haben Arbeitslosigkeit und Armut insbesondere innerhalb der benachteilig- ten Gruppen wieder ansteigen lassen (&lt; https://www.bmz.de &gt; Länder &gt; Indien &gt; Aktuelle Situation &gt; abgerufen am 28.01.2024). Auf dem aktuellen Index der menschlichen Entwicklung, der durch das Entwicklungspro- gramm der Vereinten Nationen im Sinne eines Wohlstandsindikators er- stellt wird, belegt Indien sodann lediglich Platz 132 von 191 gelisteten</w:t>
      </w:r>
    </w:p>
    <w:p>
      <w:r>
        <w:t>F-3759/2023 Seite 7 Staaten (vgl. &lt; https://hdr.undp.org &gt; Data Center ˃ Country Insights &gt; In- dia, abgerufen am 28.01.2024).</w:t>
      </w:r>
    </w:p>
    <w:p>
      <w:r>
        <w:rPr>
          <w:b/>
        </w:rPr>
        <w:t>E. 6.2</w:t>
      </w:r>
    </w:p>
    <w:p>
      <w:r>
        <w:t>Vor diesem Hintergrund ist nicht zu beanstanden, dass die Vorinstanz das Risiko einer nicht fristgerechten Wiederausreise von Besucherinnen und Besuchern aus Indien allgemein als hoch einschätzt (vgl. Urteil des BVGer F-5322/2022 vom 9. Juni 2023 E. 6.3).</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wieder zu verlassen, deren persönliche, familiäre und berufliche bzw. wirt- schaftliche Situation sowie deren Interessenlage miteinzubeziehen (BVGE 2014/1 E. 6.3.1). Obliegt einer gesuchstellenden Person im Heimatland beispielsweise eine besondere berufliche, gesellschaftliche oder familiäre Verantwortung, kann dies die Prognose für eine anstandslose Wiederaus- reise begünstigen. Umgekehrt muss bei Personen, die in ihrer Heimat keine besonderen Verpflichtungen haben, das Risiko eines ausländer- rechtlich nicht regelkonformen Verhaltens nach einer bewilligten Einreise als vergleichsweise hoch eingeschätzt werden (BVGE 2014/1 E. 6.3.1; 2009/27 E. 8).</w:t>
      </w:r>
    </w:p>
    <w:p>
      <w:r>
        <w:rPr>
          <w:b/>
        </w:rPr>
        <w:t>E. 7.2</w:t>
      </w:r>
    </w:p>
    <w:p>
      <w:r>
        <w:t>Bei den Gesuchstellerinnen handelt es sich um die 60-jährige Ehefrau (Gesuchstellerin 1) sowie die 36-jährige Tochter (Gesuchstellerin 2) des Beschwerdeführers. Sie leben im Dorf E._______ im Bundesstaat Tamil Nadu im Süden Indiens. Gemäss ihren Angaben anlässlich des Visumge- suchs ist die Gesuchstellerin 1 Hausfrau, die Gesuchstellerin 2 ist ledig und arbeitslos. In seiner Stellungnahme an den Migrationsdienst vom 13. Mai 2023 gab der Beschwerdeführer an, er habe nebst der Gesuchstellerin 2 (Tochter) noch zwei Söhne, die gemeinsam mit letzterer einen Laden für Trockenfrüchte und Nüsse führen würden. Abgesehen von diesen beiden (erwachsenen) Söhnen respektive Brüdern scheinen die Gesuchstellerin- nen in ihrem Heimatstaat keine weiteren nahen Verwandten zu haben. Je- denfalls ist aus den Akten nicht ersichtlich, dass ihnen in Indien besondere gesellschaftliche oder familiäre Verpflichtungen obliegen würden, die hin- reichende Gewähr für eine fristgerechte Wiederausreise bieten könnten. Als Grund für den Visumantrag gaben die Gesuchstellerinnen den Besuch ihres in der Schweiz lebenden Ehemanns respektive Vaters an. Dieser lebt gemäss eigenen Angaben seit 32 Jahren in der Schweiz und hat Indien in</w:t>
      </w:r>
    </w:p>
    <w:p>
      <w:r>
        <w:t>F-3759/2023 Seite 8 den Jahren 2003 und 2004 zwei Mal besucht. Folglich hat er seine Ehefrau und Tochter vor rund 20 Jahren das letzte Mal in ihrem Heimatstaat be- sucht. Weiter ist aus den vorinstanzlichen Akten ersichtlich, dass die Ge- suchstellerin 2 im Jahr 2012 in die Schweiz eingereist ist und hier ein Asyl- gesuch gestellt hat. Nachdem dieses abgewiesen worden war und sie sich einer Wegweisung widersetzt hatte, verhängte die Vorinstanz im Februar 2015 ein dreijähriges Einreiseverbot gegen sie. Dieses Verhalten der Ge- suchstellerin 2 steht in direktem Widerspruch zu ihrer Absichtserklärung, sie werde die Schweiz fristgerecht wieder verlassen. Objektiv betrachtet vermögen nach dem Gesagten die familiären und weiteren persönlichen Umstände der Gesuchstellerinnen die aufgrund der allgemeinen Lage in Indien bestehenden Zweifel hinsichtlich einer fristgerechten Wiederaus- reise aus der Schweiz nicht zu entkräften (Gesuchstellerin 1) bzw. verstär- ken diese gar (Gesuchstellerin 2).</w:t>
      </w:r>
    </w:p>
    <w:p>
      <w:r>
        <w:rPr>
          <w:b/>
        </w:rPr>
        <w:t>E. 7.3</w:t>
      </w:r>
    </w:p>
    <w:p>
      <w:r>
        <w:t>In Bezug auf die wirtschaftliche und berufliche Situation der Gesuch- stellerinnen ist festzuhalten, dass sie gemäss eigenen Angaben keiner Er- werbstätigkeit nachgehen. Zum nach Angaben des Beschwerdeführers von der Gesuchstellerin 2 gemeinsam mit ihren Brüdern geführten Laden gibt es weder Belege noch sonstige Angaben. Das Bankkonto der Gesuch- stellerin 1 wies per 7. März 2023 einen Saldo von INR 202'749.58 (umge- rechnet CHF 2'123.86) auf. Dabei ist jedoch auffällig, dass der Saldo per 17. November 2022 noch lediglich INR 28'618.06 (umgerechnet knapp CHF 300.–) betragen hatte. Der Grossteil des Vermögens resultiert aus insgesamt fünf Überweisungen, wovon vier vom Beschwerdeführer (insge- samt CHF 4'150.–) stammen. Die entsprechenden Beträge wurden am</w:t>
      </w:r>
    </w:p>
    <w:p>
      <w:r>
        <w:rPr>
          <w:b/>
        </w:rPr>
        <w:t>E. 7.4</w:t>
      </w:r>
    </w:p>
    <w:p>
      <w:r>
        <w:t>Unter Berücksichtigung der allgemeinen Situation im Herkunftsland und vor den dargelegten persönlichen Hintergründen durfte die Vorinstanz davon ausgehen, dass keine hinreichende Gewähr für eine fristgerechte und anstandslose Wiederausreise der Gesuchstellerinnen nach einem Be- suchsaufenthalt besteht. Zwar ist der infrage stehende Aufenthaltszweck zeitlich und inhaltlich klar umrissen – nämlich ein zweiwöchiger Familien- besuch bei ihrem in der Schweiz lebenden Ehemann und Vater –, dennoch lassen die persönlichen Lebensumstände der Gesuchstellerinnen in Indien – soweit bekannt – in der Gesamtbetrachtung nicht auf eine ausreichende Gewähr für die fristgerechte Wiederausreise schliessen. Die Vorausset- zungen für die Erteilung eines Besuchervisums im Sinne von Art. 6 SGK beziehungsweise Art. 5 AIG sind demnach nicht erfüllt. 8. Im Übrigen wurden Gründe für die Ausstellung eines VrG-Visums weder vom Beschwerdeführer geltend gemacht noch ergeben sich solche aus den Akten. Folglich hat die Vorinstanz die Ausstellung von Visa zu Recht verweigert. 9. Aus den vorstehenden Erwägungen folgt, dass die angefochtene Verfü- gung im Lichte von Art. 49 VwVG nicht zu beanstanden ist. Die Be- schwerde ist daher abzuweisen. 10. Entsprechend dem Ausgang des Verfahrens wird der unterliegende Be- schwerdeführer kostenpflichtig (Art. 63 Abs. 1 VwVG i.V.m. Art. 1 ff. des Reglements vom 21. Februar 2008 über die Kosten und Entschädigungen vor dem Bundesverwaltungsgericht [VGKE, SR 173.320.2]).</w:t>
      </w:r>
    </w:p>
    <w:p>
      <w:r>
        <w:t>(Dispositiv nächste Seite)</w:t>
      </w:r>
    </w:p>
    <w:p>
      <w:r>
        <w:t>F-3759/2023 Seite 10</w:t>
      </w:r>
    </w:p>
    <w:p>
      <w:r>
        <w:rPr>
          <w:b/>
        </w:rPr>
        <w:t>E. 8</w:t>
      </w:r>
    </w:p>
    <w:p>
      <w:r>
        <w:t>Im Übrigen wurden Gründe für die Ausstellung eines VrG-Visums weder vom Beschwerdeführer geltend gemacht noch ergeben sich solche aus den Akten. Folglich hat die Vorinstanz die Ausstellung von Visa zu Recht verweigert.</w:t>
      </w:r>
    </w:p>
    <w:p>
      <w:r>
        <w:rPr>
          <w:b/>
        </w:rPr>
        <w:t>E. 9</w:t>
      </w:r>
    </w:p>
    <w:p>
      <w:r>
        <w:t>und 26. Dezember 2022 sowie am 11. Januar und 10. Februar 2023 und damit innert rund drei Monaten vor der Gesucheinreichung – welche am</w:t>
      </w:r>
    </w:p>
    <w:p>
      <w:r>
        <w:rPr>
          <w:b/>
        </w:rPr>
        <w:t>E. 10</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r>
        <w:rPr>
          <w:b/>
        </w:rPr>
        <w:t>E. 14</w:t>
      </w:r>
    </w:p>
    <w:p>
      <w:r>
        <w:t>März 2023 erfolgte – überwiesen. Dies lässt naheliegend erscheinen, dass es sich um Zahlungen handelt, die bewusst vorgenommen wurden, um die Vermögenssituation der Gesuchstellerin 1 deutlich besser erschei- nen zu lassen. Das Bankkonto der Gesuchstellerin 2 wies per 7. März 2023 einen Saldo von INR 200'316.31 (umgerechnet CHF 2'098.35) auf. Es ist jedoch anzumerken, dass dieses Konto per 17. November 2022 kein Gut- haben (INR 0.–) aufgewiesen hatte. Am 31. Januar 2023 erfolgte eine Überweisung von INR 200’000.–, wobei deren Herkunft unklar bleibt. Dies führte zu einer Aufbesserung der Vermögenssituation, jedoch liegt auch damit kein hinreichender Beleg für eine sichere wirtschaftliche Existenz der Gesuchstellerin 2 in Indien vor. Daran ändern auch die im Rahmen der Stellungnahme vom 13. Mai 2023 eingereichten Dokumente zu einem an- geblichen Grundeigentum der Gesuchstellerin 2 nichts, zumal die</w:t>
      </w:r>
    </w:p>
    <w:p>
      <w:r>
        <w:t>F-3759/2023 Seite 9 angeblichen Mieteinkünfte nicht belegt sind. Selbst wenn solches Grundei- gentum und daraus resultierende Einnahmequellen vorhanden sein soll- ten, gingen sie bei einer allfälligen Emigration nicht zwingend verloren (vgl. BVGE 2014/1 E. 6.3.6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