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F-3756/2025 vom 27. Mai 2025</w:t>
      </w:r>
    </w:p>
    <w:p>
      <w:r>
        <w:t>Bundesverwaltungsgericht, 2025-05-27, DE</w:t>
      </w:r>
    </w:p>
    <w:p>
      <w:r>
        <w:rPr>
          <w:b/>
        </w:rPr>
        <w:t xml:space="preserve">Quelle: </w:t>
      </w:r>
      <w:r>
        <w:t>https://mcp.opencaselaw.ch/entscheid/bvger_F-3756_2025</w:t>
      </w:r>
    </w:p>
    <w:p>
      <w:r>
        <w:t>FR: TAF F-3756/2025 du 27 mai 2025</w:t>
      </w:r>
    </w:p>
    <w:p>
      <w:r>
        <w:t>IT: TAF F-3756/2025 del 27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als zuständiger Staat bestimmt wird. Polen hat der Aufnahme des Beschwerdeführers gestützt auf Art. 12 Abs. 2 Dublin-III-VO vorbehaltlos zugestimmt. Die grundsätzliche Zuständigkeit Polens ist gegeben.</w:t>
      </w:r>
    </w:p>
    <w:p>
      <w:r>
        <w:rPr>
          <w:b/>
        </w:rPr>
        <w:t>E. 2.2</w:t>
      </w:r>
    </w:p>
    <w:p>
      <w:r>
        <w:t>Die Dublin-III-VO räumt den Schutzsuchenden kein Recht ein, den ihren Antrag prüfenden Staat selber auszuwählen (vgl. BVGE 2010/45 E. 8.3).</w:t>
      </w:r>
    </w:p>
    <w:p>
      <w:r>
        <w:rPr>
          <w:b/>
        </w:rPr>
        <w:t>E. 3.1</w:t>
      </w:r>
    </w:p>
    <w:p>
      <w:r>
        <w:t>Die Vorinstanz hat korrekt erwogen, das polnische Asyl- und Aufnahmesystem weise rechtsprechungsgemäss keine systemischen Schwachstellen auf (vgl. statt vieler zuletzt Urteile des BVGer F-3391/2025 vom 14. Mai 2025 E.3.1, F-2669/2025 vom 24. April 2025 E. 3.2 m.w.H, F-911/2025 vom 17. Februar 2025 E. 2.1), aufgrund derer die Zustän-digkeit gemäss Art. 3 Abs. 2 Dublin-III-VO auf die Schweiz überginge und es seien vorliegend keine völkerrechtlichen Vollzugshindernisse ersichtlich, welche die Schweiz zu einem Selbsteintritt nach Art. 17 Abs. 1 Dublin-III-VO verpflichten würden. Dabei hat sie sich mit den Vorbringen des Beschwerdeführers und insbesondere auch mit den geltend gemachten Diskriminierungen aufgrund seiner sexuellen Orientierung und seinem Gesundheitszustand ausführlich auseinandergesetzt, weshalb in Abweisung des dahingehenden Eventualantrags auch keine Veranlassung besteht, die Sache an die Vorinstanz zurückzuweisen. Sie hat zutreffend darauf hingewiesen, dass Polen über ein funktionierendes Justizsystem und über eine ausreichende medizinische Infrastruktur zur allfälligen Behandlung gesundheitlicher Beschwerden verfügt.</w:t>
      </w:r>
    </w:p>
    <w:p>
      <w:r>
        <w:rPr>
          <w:b/>
        </w:rPr>
        <w:t>E. 3.2</w:t>
      </w:r>
    </w:p>
    <w:p>
      <w:r>
        <w:t>Soweit der Beschwerdeführer vorbringt, er brauche dringend eine Psychotherapie zufolge einer (...), findet sich in den Akten leidglich die Empfehlung zu einer Therapie und kein Hinweis darauf, wonach diese dringend indiziert wäre. Eine solche ist überdies - entgegen den Ausführungen in der Beschwerde - auch in Polen möglich und steht einer Überstellung nicht entgegen. Was die allgemeinen Ausführungen zur Situation in Polen unter Verweis auf diverse Berichte betrifft, wurden diese Aspekte im Entscheid der Vorinstanz bereits berücksichtigt. Die Wiederholungen auf Beschwerdeebene vermögen nichts an der zutreffenden Einschätzung der Vor-instanz zu ändern.</w:t>
      </w:r>
    </w:p>
    <w:p>
      <w:r>
        <w:rPr>
          <w:b/>
        </w:rPr>
        <w:t>E. 4</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Polen angeordnet. Die Beschwerde ist abzuweisen.</w:t>
      </w:r>
    </w:p>
    <w:p>
      <w:r>
        <w:rPr>
          <w:b/>
        </w:rPr>
        <w:t>E. 5</w:t>
      </w:r>
    </w:p>
    <w:p>
      <w:r>
        <w:t>Mit dem Entscheid in der Hauptsache sind die Gesuche um Erteilung der aufschiebenden Wirkung und um Verzicht auf die Erhebung eines Kostenvorschusses gegenstandslos geworden. Der am 26. Mai 2025 verfügte einstweilige Vollzugsstopp fällt mit dem vorliegenden Urteil dahin.</w:t>
      </w:r>
    </w:p>
    <w:p>
      <w:r>
        <w:rPr>
          <w:b/>
        </w:rPr>
        <w:t>E. 6</w:t>
      </w:r>
    </w:p>
    <w:p>
      <w:r>
        <w:t>Das Gesuch um Gewährung der unentgeltlichen Prozessführung ist abzuweisen, da die Beschwerde gemäss den vorstehenden Erwägungen als aussichtslos zu bezeichnen ist. Unbesehen der finanziellen Verhältnisse des Beschwerdeführers fehlt es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