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F-3746/2023 vom 11. Juli 2023</w:t>
      </w:r>
    </w:p>
    <w:p>
      <w:r>
        <w:t>Bundesverwaltungsgericht, 2023-07-11, DE</w:t>
      </w:r>
    </w:p>
    <w:p>
      <w:r>
        <w:rPr>
          <w:b/>
        </w:rPr>
        <w:t xml:space="preserve">Quelle: </w:t>
      </w:r>
      <w:r>
        <w:t>https://mcp.opencaselaw.ch/entscheid/bvger_F-3746_2023</w:t>
      </w:r>
    </w:p>
    <w:p>
      <w:r>
        <w:t>FR: TAF F-3746/2023 du 11 juillet 2023</w:t>
      </w:r>
    </w:p>
    <w:p>
      <w:r>
        <w:t>IT: TAF F-3746/2023 del 11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Es entscheidet über diese in der Regel - wie auch vorliegend - endgültig (vgl. Art. 83 Bst. d Ziff. 1 BGG). Der Beschwerdeführer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 Da die vorliegende Streitsache weder aussergewöhnlich umfangreich noch von besonderer rechtlicher Schwierigkeit ist, besteht - entgegen den Darlegungen in N. 27 der Beschwerdeschrift - auch für die beantragte Ansetzung einer Nachfrist zur Beschwerdeergänzung im Sinne von Art. 53 VwVG kein Anlass.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3.4</w:t>
      </w:r>
    </w:p>
    <w:p>
      <w:r>
        <w:t>Im Rahmen eines Wiederaufnahmeverfahrens (engl.: take back)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3.5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Ein Abgleich der Fingerabdrücke des Beschwerdeführers mit der Eurodac-Datenbank ergab, dass dieser vor seiner Einreise in die Schweiz am 3. Mai 2023 in Kroatien um Asyl nachgesucht hatte, weshalb die Vorinstanz zu Recht gestützt auf Art. 18 Abs. 1 Bst. b Dublin-III-VO die kroatischen Behörden um Wiederaufnahme des Beschwerdeführers ersuchte. Diese haben dem Wiederaufnahmegesuch der Vorinstanz innert der in Art. 25 Abs. 1 Dublin-III-VO festgelegten Frist ausdrücklich zugestimmt.</w:t>
      </w:r>
    </w:p>
    <w:p>
      <w:r>
        <w:rPr>
          <w:b/>
        </w:rPr>
        <w:t>E. 4.2</w:t>
      </w:r>
    </w:p>
    <w:p>
      <w:r>
        <w:t>Somit ist die grundsätzliche Zuständigkeit Kroatiens für die Durchführung des Asyl- und Wegweisungsverfahrens gegeben.</w:t>
      </w:r>
    </w:p>
    <w:p>
      <w:r>
        <w:rPr>
          <w:b/>
        </w:rPr>
        <w:t>E. 5</w:t>
      </w:r>
    </w:p>
    <w:p>
      <w:r>
        <w:t>In der Beschwerde wird auf die Gewalt der kroatischen Behörden gegenüber illegal eingereisten Ausländern und Asylsuchenden hingewiesen und aufgrund geltend gemachter systemischer Mängel im Asyl- und Aufnahmesystems Kroatiens die Anwendung von Art. 3 Abs. 2 Sätze 2 und 3 Dublin-III-VO gefordert.</w:t>
      </w:r>
    </w:p>
    <w:p>
      <w:r>
        <w:rPr>
          <w:b/>
        </w:rPr>
        <w:t>E. 5.1</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lassen würden (vgl. E-1488/2020 E. 9.5). Der - angesichts der in E. 9.4.2 f. des Urteils dargelegten Situation prima vista nicht unbegründete -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w:t>
      </w:r>
    </w:p>
    <w:p>
      <w:r>
        <w:rPr>
          <w:b/>
        </w:rPr>
        <w:t>E. 5.2</w:t>
      </w:r>
    </w:p>
    <w:p>
      <w:r>
        <w:t>An dieser aktuellen Beurteilung des Bundesverwaltungsgerichts, wonach das kroatische Asyl- und Aufnahmesystem keine systemischen Schwachstellen aufweist, vermögen die Vorbringen des Beschwerdeführers nichts zu ändern. Die Rüge der unvollständigen beziehungsweise unrichtigen Ermittlung des Sachverhalts im Zusammenhang mit der Situation von Dublin-Rückkehrenden ist nicht stichhaltig, weshalb von einer Rückweisung zu weiteren Sachverhaltsabklärungen abzusehen ist (vgl. BGE 136 I 229 E. 5.3 zur antizipierten Beweiswürdigung). Unter diesen Umständen ist die Anwendung von Art. 3 Abs. 2 Dublin-III-VO nicht gerechtfertigt.</w:t>
      </w:r>
    </w:p>
    <w:p>
      <w:r>
        <w:rPr>
          <w:b/>
        </w:rPr>
        <w:t>E. 6</w:t>
      </w:r>
    </w:p>
    <w:p>
      <w:r>
        <w:t>Auch ein Selbsteintritt nach Art. 17 Abs. 1 erster Satz Dublin-III-VO, konkretisiert in Art. 29a Abs. 3 AsylV 1, kommt vorliegend nicht in Betracht.</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6.2</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6.3</w:t>
      </w:r>
    </w:p>
    <w:p>
      <w:r>
        <w:t>Der Beschwerdeführer vermag nicht rechtsgenügend darzutun, dass die von ihm bei einer Rückführung nach Kroatien zu erwartenden Bedingungen derart schlecht wären, dass sie zu einer Verletzung von Art. 3 EMRK führen könnten. Das Bundesverwaltungsgericht geht davon aus, dass er sich nach der Dublin-Rücküberstellung in einer anderen Situation als bei der ersten Einreise nach Kroatien befinden wird (vgl. Urteil des BVGer E-1488/2020 E. 9.4 m.w.H.).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Bei einer allfälligen vorübergehenden Einschränkung der ihm zustehenden Aufnahmebedingungen könnte er sich nötigenfalls an die kroatischen Behörden wenden und seine Rechte auf dem Rechtsweg einfordern (vgl. Art. 26 Aufnahmerichtlinie). Sollte er sich durch kroatische Behörden oder Drittpersonen ungerecht oder rechtswidrig behandelt fühlen, könnte er sich mit einer Beschwerde an die zuständigen Stellen wenden oder eine Anzeige einreichen. Im Übrigen steht ihm auch die Möglichkeit offen, die vor Ort tätigen karitativen Organisationen zu kontaktieren.</w:t>
      </w:r>
    </w:p>
    <w:p>
      <w:r>
        <w:rPr>
          <w:b/>
        </w:rPr>
        <w:t>E. 6.4</w:t>
      </w:r>
    </w:p>
    <w:p>
      <w:r>
        <w:t>Bezüglich der gesundheitlichen Aspekte ist festzuhalten, dass eine zwangsweise Rückweisung von Personen mit gesundheitlichen Problemen nur ausnahmsweise einen Verstoss gegen Art. 3 EMRK darstellt. Dies ist insbesondere dann der Fall, wenn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 Die im vorliegenden Verfahren geltend gemachten gesundheitlichen Beeinträchtigungen (Schmerzen am Arm sowie Schlafprobleme) sind nicht von derartiger Schwere, dass sie eine drohende Verletzung von Art. 3 EMRK zu begründen vermöchten. Zudem könnten sie in Kroatien behandelt werden, das grundsätzlich über eine ausreichende medizinische Infrastruktur verfügt (vgl. Urteil des BVGer D-735/2022 vom 28. Februar 2022 E. 6.7.3). Unter diesen Umständen besteht auch kein Anlass den vom Beschwerdeführer in Aussicht gestellten medizinischen Bericht abzuwarten. Sofern dies im Überstellungszeitpunkt erforderlich wäre, würden die schweizerischen Behörden, die mit dem Vollzug der angefochtenen Verfügungen beauftragt sind, die kroatischen Behörden in geeigneter Weise über allfällige spezifische medizinische Bedürfnisse und Umstände des Beschwerdeführers informieren (Art. 31 f. Dublin-III-VO; vgl. auch angefochtene Verfügung S. 9).</w:t>
      </w:r>
    </w:p>
    <w:p>
      <w:r>
        <w:rPr>
          <w:b/>
        </w:rPr>
        <w:t>E. 6.5</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6.6</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Dublin-III-VO.</w:t>
      </w:r>
    </w:p>
    <w:p>
      <w:r>
        <w:rPr>
          <w:b/>
        </w:rPr>
        <w:t>E. 7</w:t>
      </w:r>
    </w:p>
    <w:p>
      <w:r>
        <w:t>Nach den obigen Darlegungen (E. 6.4) erscheint es auch nicht angezeigt, die Vorinstanz dazu zu verpflichten, von den kroatischen Behörden vor einer Überstellung individuelle Zusicherungen bezüglich des Zugangs zu medizinischer Versorgung und zu adäquater Unterbringung einzuholen.</w:t>
      </w:r>
    </w:p>
    <w:p>
      <w:r>
        <w:rPr>
          <w:b/>
        </w:rPr>
        <w:t>E. 8</w:t>
      </w:r>
    </w:p>
    <w:p>
      <w:r>
        <w:t>Die Vorinstanz ist nach dem Gesagten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 Nach dem Gesagten ist die Beschwerde abzuweisen.</w:t>
      </w:r>
    </w:p>
    <w:p>
      <w:r>
        <w:rPr>
          <w:b/>
        </w:rPr>
        <w:t>E. 9</w:t>
      </w:r>
    </w:p>
    <w:p>
      <w:r>
        <w:t>Das Gesuch um Gewährung der aufschiebenden Wirkung ist mit Ausfällung des vorliegenden Endentscheids gegenstandslos geworden. Der verfügte Vollzugsstopp fällt mit dem vorliegenden Urteil dahin.</w:t>
      </w:r>
    </w:p>
    <w:p>
      <w:r>
        <w:rPr>
          <w:b/>
        </w:rPr>
        <w:t>E. 10</w:t>
      </w:r>
    </w:p>
    <w:p>
      <w:r>
        <w:t>Das Gesuch um Gewährung der unentgeltlichen Prozessführung ist abzuweisen, da die Begehren wie sich aus den vorstehenden Erwägungen ergibt als aussichtslos zu bezeichnen sind und dies auch schon im Zeitpunkt der Gesuchstellung waren (Art. 65 Abs. 1 und 2 VwVG). Die Kosten des Verfahrens sind somit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