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F-3745/2023 vom 10. Juli 2023</w:t>
      </w:r>
    </w:p>
    <w:p>
      <w:r>
        <w:t>Bundesverwaltungsgericht, 2023-07-10, DE</w:t>
      </w:r>
    </w:p>
    <w:p>
      <w:r>
        <w:rPr>
          <w:b/>
        </w:rPr>
        <w:t xml:space="preserve">Quelle: </w:t>
      </w:r>
      <w:r>
        <w:t>https://mcp.opencaselaw.ch/entscheid/bvger_F-3745_2023</w:t>
      </w:r>
    </w:p>
    <w:p>
      <w:r>
        <w:t>FR: TAF F-3745/2023 du 10 juillet 2023</w:t>
      </w:r>
    </w:p>
    <w:p>
      <w:r>
        <w:t>IT: TAF F-3745/2023 del 10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Der Beschwerdeführer beantragt die Ansetzung einer Nachfrist zur Beschwerdeergänzung. Zur Begründung führt er an, er habe aufgrund der kurzen Beschwerdefrist und der Niederlegung des Mandats durch die vorherige Rechtsvertretung nur wenig Zeit für die Anwaltssuche gehabt. Folglich sei es der rubrizierten Rechtsvertreterin nicht möglich gewesen, ein ausführliches Gespräch mit ihm zu führen, insbesondere da hierzu zwingend ein Dolmetscher erforderlich gewesen wäre.</w:t>
      </w:r>
    </w:p>
    <w:p>
      <w:r>
        <w:rPr>
          <w:b/>
        </w:rPr>
        <w:t>E. 4.2</w:t>
      </w:r>
    </w:p>
    <w:p>
      <w:r>
        <w:t>Erfordert es der aussergewöhnliche Umfang oder die besondere Schwierigkeit einer Beschwerdesache, so gestattet die Beschwerdeinstanz dem Beschwerdeführer, der darum in seiner sonst ordnungsgemäss eingereichten Beschwerde nachsucht, deren Begründung innert einer angemessenen Nachfrist zu ergänzen (Art. 53 VwVG). Auf dem Gebiet des Asyls ist die Beschwerde gegen Nichteintretensentscheide innerhalb von fünf Arbeitstagen seit der Verfügungseröffnung einzureichen (Art. 108 Abs. 3 AsylG). Diese Bestimmung geht als «lex specialis» der allgemeinen Regel gemäss Art. 50 Abs. 1 VwVG vor, wonach die Beschwerdefrist 30 Tage beträgt. Es erscheint daher fraglich, ob Art. 53 VwVG, auf den der Beschwerdeführer seinen Antrag stützt, angerufen werden kann. Eine Beschwerdefrist von fünf Arbeitstagen lässt vielmehr darauf schliessen, dass entsprechende Verfahren nach Ansicht des Gesetzgebers a priori keinen aussergewöhnlichen Umfang oder eine besondere Schwierigkeit aufweisen. Die Frage kann jedoch offengelassen werden, da die Voraussetzungen von Art. 53 VwVG im vorliegenden Fall offensichtlich nicht erfüllt sind. Der Antrag auf Ansetzung einer Nachfrist zur Beschwerdeergänzung ist daher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Nachdem die kroatischen Behörden dem Wiederaufnahmegesuch der Vorinstanz gestützt auf Art. 20 Abs. 5 Dublin-III-VO zugestimmt haben, ist die grundsätzliche Zuständigkeit Kroatiens für die Durchführung des Asyl- und Wegweisungsverfahrens unstrittig gegeben.</w:t>
      </w:r>
    </w:p>
    <w:p>
      <w:r>
        <w:rPr>
          <w:b/>
        </w:rPr>
        <w:t>E. 6.1</w:t>
      </w:r>
    </w:p>
    <w:p>
      <w:r>
        <w:t>Erweist es sich als unmöglich, eine antragstellende Person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die Vorinstanz das Asylgesuch «aus humanitären Gründen» auch dann behandeln, wenn dafür gemäss Dublin-III-VO ein anderer Staat zuständig wäre.</w:t>
      </w:r>
    </w:p>
    <w:p>
      <w:r>
        <w:rPr>
          <w:b/>
        </w:rPr>
        <w:t>E. 7.1</w:t>
      </w:r>
    </w:p>
    <w:p>
      <w:r>
        <w:t>Gemäss jüngster Rechtsprechung des Bundesverwaltungsgerichts weisen das Asylverfahren und die Aufnahmebedingungen für Antragstellende in Kroatien keine systemischen Schwachstellen im Sinne von Art. 3 Abs. 2 zweiter und dritter Satz Dublin-III-VO auf (vgl. Urteil E-1488/2020 vom 22. März 2023 [zur Publikation als Referenzurteil vorgesehen] E. 9.5). Auch unter Berücksichtigung der in der Beschwerde zitierten Berichte ist nicht davon auszugehen, Kroatien verstosse systematisch gegen seine vertraglichen Verpflichtungen als zuständiger Dublin-Mitgliedstaat im Falle einer Rücküberstellung von Asylsuchenden. Der Verdacht eines Gefährdungszusammenhangs zwischen Push-backs und Dublin-Rückkehr lässt sich aufgrund der verfügbaren Informationen derzeit nicht erhärten (a.a.O. E. 9.4.4). Es ist davon auszugehen, dass Gesuchstellende, welche gestützt auf die Dublin-III-VO nach Kroatien überstellt werden, Zugang zum dortigen Asylverfahren erhalten (a.a.O. E. 9.5).</w:t>
      </w:r>
    </w:p>
    <w:p>
      <w:r>
        <w:rPr>
          <w:b/>
        </w:rPr>
        <w:t>E. 7.2</w:t>
      </w:r>
    </w:p>
    <w:p>
      <w:r>
        <w:t>Die vom Beschwerdeführer bei seiner illegalen Einreise nach Kroatien geltend gemachten Vorkommnisse (Gewaltanwendung durch die Polizei) lassen nicht den Schluss zu, er hätte bei einer Überstellung nach Kroatien mit hoher Wahrscheinlichkeit eine unmenschliche oder erniedrigende Behandlung im Sinne von Art. 3 EMRK, Art. 4 EU-Grundrechtecharta oder Art. 3 des Übereinkommens vom 10. Dezember 1984 gegen Folter und andere grausame, unmenschliche oder erniedrigende Behandlung oder Strafe (FoK, SR 0.105) zu gewärtigen. Seine Befürchtung einer Inhaftierung sind unbegründet, da er nicht illegal, sondern als Dublin-Rückkehrer und damit rechtmässig nach Kroatien einreisen würde. Sollte er nach seiner Rückkehr von Behördenvertretern rechtswidrig behandelt werden, könnte er sich an das kroatische Justizwesen oder die dortigen Aufsichtsbehörden wenden. Der Umstand, dass dies möglicherweise mit grösseren Schwierigkeiten verbunden sein könnte als in der Schweiz, weist nicht per se auf systemische Schwachstellen im kroatischen Asylsystem hin (vgl. Urteil des BVGer F-3238/2023 vom 21. Juni 2023 E. 5.3 m.H.). Art. 3 Abs. 2 Dublin-III-VO findet folglich keine Anwendung.</w:t>
      </w:r>
    </w:p>
    <w:p>
      <w:r>
        <w:rPr>
          <w:b/>
        </w:rPr>
        <w:t>E. 8.1</w:t>
      </w:r>
    </w:p>
    <w:p>
      <w:r>
        <w:t>Schliesslich ist zu prüfen, ob das Selbsteintrittsrecht nach Art. 17 Abs. 1 erster Satz Dublin-III-VO beziehungsweise Art. 29a Abs. 3 AsylV 1 auszuüben ist.</w:t>
      </w:r>
    </w:p>
    <w:p>
      <w:r>
        <w:rPr>
          <w:b/>
        </w:rPr>
        <w:t>E. 8.2</w:t>
      </w:r>
    </w:p>
    <w:p>
      <w:r>
        <w:t>Kroatien ist Signatarstaat der EMRK, des FoK und des Abkommens vom 28. Juli 1951 über die Rechtsstellung der Flüchtlinge (FK, SR 0.142.30) sowie des Zusatzprotokolls der FK vom 31. Januar 1967 (SR 0.142.301) und hat die diesbezüglichen völkerrechtlichen Verpflichtungen zu beachten. Es darf davon ausgegangen werden, Kroatien anerkenne und schütze die Rechte, die sich für Schutzsuchende aus den international eingegangenen Verpflichtungen ergeben, insbesondere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w:t>
      </w:r>
    </w:p>
    <w:p>
      <w:r>
        <w:rPr>
          <w:b/>
        </w:rPr>
        <w:t>E. 8.3</w:t>
      </w:r>
    </w:p>
    <w:p>
      <w:r>
        <w:t>Der Beschwerdeführer hat kein konkretes Risiko aufgezeigt, die kroatischen Behörden würden in seinem Fall ihren völkerrechtlichen Verpflichtungen nicht nachkommen. Den Akten sind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würden, zur Ausreise in ein solches Land gezwungen zu werden. Schliesslich hat die Vorinstanz unter Bezugnahme auf die Schilderungen des Beschwerde-führers dessen individuelle Situation, die von ihm vorgebrachte Behandlung durch die kroatischen Behörden sowie die allgemeine Situation in Kroatien abgeklärt. Es ist weder dargetan noch ersichtlich, inwiefern weitere Abklärungen hätten vorgenommen werden müssen. Die Rügen der unvollständigen und unrichtigen Feststellung des rechtserheblichen Sachverhalts erweisen sich als unbegründet, weshalb von einer Rückweisung zu weiteren Sachverhaltsabklärungen abzusehen ist (vgl. BGE 144 V 361 E. 6.5 m.w.H. zur antizipierten Beweiswürdigung). Der entsprechende Eventualantrag ist abzuweisen.</w:t>
      </w:r>
    </w:p>
    <w:p>
      <w:r>
        <w:rPr>
          <w:b/>
        </w:rPr>
        <w:t>E. 8.4</w:t>
      </w:r>
    </w:p>
    <w:p>
      <w:r>
        <w:t>Demnach hat die Vorinstanz das Selbsteintrittsrecht gemäss Art. 17 Abs. 1 Dublin-III-VO und Art. 29a Abs. 3 AsylV 1 zutreffend nicht ausgeübt, zumal die Schweiz weder völkerrechtlich verpflichtet ist, auf das Asylgesuch einzutreten, noch Rechtsfehler bei der Ermessensbetätigung dargetan oder ersichtlich sind. Mithin besteht kein Anlass für die Einholung individueller Garantien bezüglich des Zugangs zu regelmässiger und adäquater medizinischer Behandlung sowie Unterbringung und Nahrung, weshalb der entsprechende Subeventualantrag abzuweisen ist.</w:t>
      </w:r>
    </w:p>
    <w:p>
      <w:r>
        <w:rPr>
          <w:b/>
        </w:rPr>
        <w:t>E. 9</w:t>
      </w:r>
    </w:p>
    <w:p>
      <w:r>
        <w:t>Nach dem Gesagten ist die Vorinstanz zu Recht auf das Asylgesuch des Beschwerdeführers nicht eingetreten und hat seine Wegweisung nach Kroatien angeordnet. Die Beschwerde ist abzuweisen. Mit vorliegendem Urteil fällt der angeordnete Vollzugsstopp dahin. Die Gesuche um Gewährung der aufschiebenden Wirkung der Beschwerde und um Verzicht auf die Erhebung eines Kostenvorschusses sind mit heutigem Entscheid gegenstandslos geworden.</w:t>
      </w:r>
    </w:p>
    <w:p>
      <w:r>
        <w:rPr>
          <w:b/>
        </w:rPr>
        <w:t>E. 10</w:t>
      </w:r>
    </w:p>
    <w:p>
      <w:r>
        <w:t>Angesichts der dargelegten Aussichtslosigkeit der gestellten Rechtsbegehren ist das Gesuch um Gewährung der unentgeltlichen Prozessführung ungeachtet einer allfälligen prozessualen Bedürftigkeit abzuweisen (Art. 65 Abs. 1 VwVG). Die Verfahrenskosten sind entsprechend dem unterliegenden Beschwerdeführer aufzuerlegen (Art. 63 Abs. 1 VwVG) und auf insgesamt Fr. 750.- festzusetzen (Art. 1 ff. des Reglements vom 21. Februar 2008 über die Kosten und Entschädigungen vor dem Bundesverwaltungsgericht [VGKE, SR 173.320.2]).</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