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F-3740/2025 vom 2. Juni 2025</w:t>
      </w:r>
    </w:p>
    <w:p>
      <w:r>
        <w:t>Bundesverwaltungsgericht, 2025-06-02, DE</w:t>
      </w:r>
    </w:p>
    <w:p>
      <w:r>
        <w:rPr>
          <w:b/>
        </w:rPr>
        <w:t xml:space="preserve">Quelle: </w:t>
      </w:r>
      <w:r>
        <w:t>https://mcp.opencaselaw.ch/entscheid/bvger_F-3740_2025</w:t>
      </w:r>
    </w:p>
    <w:p>
      <w:r>
        <w:t>FR: TAF F-3740/2025 du 2 juin 2025</w:t>
      </w:r>
    </w:p>
    <w:p>
      <w:r>
        <w:t>IT: TAF F-3740/2025 del 2 giugno 2025</w:t>
      </w:r>
    </w:p>
    <w:p>
      <w:pPr>
        <w:pStyle w:val="Heading2"/>
      </w:pPr>
      <w:r>
        <w:t>Regeste</w:t>
      </w:r>
    </w:p>
    <w:p>
      <w:r>
        <w:t>Nichteintreten auf Asylgesuch und Wegweisung (Dublin-Verfahren - Art. 31a Abs. 1 Bst. b AsylG)</w:t>
      </w:r>
    </w:p>
    <w:p>
      <w:pPr>
        <w:pStyle w:val="Heading2"/>
      </w:pPr>
      <w:r>
        <w:t>Erwägungen</w:t>
      </w:r>
    </w:p>
    <w:p>
      <w:r>
        <w:rPr>
          <w:b/>
        </w:rPr>
        <w:t>E. 1.1</w:t>
      </w:r>
    </w:p>
    <w:p>
      <w:r>
        <w:t>Das Verfahren richtet sich nach dem VwVG, dem VGG und dem BGG, soweit das AsylG (SR 142.31) nichts anderes bestimmt (Art. 37 VGG und Art. 6 AsylG).</w:t>
      </w:r>
    </w:p>
    <w:p>
      <w:r>
        <w:rPr>
          <w:b/>
        </w:rPr>
        <w:t>E. 1.2</w:t>
      </w:r>
    </w:p>
    <w:p>
      <w:r>
        <w:t>Die Beschwerde ist zulässig (Art. 105 AsylG; Art. 31 ff. VGG). Die übri- gen Sachurteilsvoraussetzungen (Legitimation [Art. 48 Abs. 1 VwVG], Frist [Art. 108 Abs. 3 AsylG], und Form [Art. 52 Abs. 1 VwVG]) sind erfüllt, so- dass auf die Beschwerde einzutreten ist.</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Die Beschwerde erweist sich als offensichtlich unbegründet, weshalb sie im Verfahren einzelrichterlicher Zuständigkeit mit Zustimmung einer zweiten Richterin beziehungsweise eines zweiten Richters (Art. 111 Bst. e AsylG), ohne Durchführung eines Schriftenwechsels und mit summari- scher Begründung zu behandeln ist (Art. 111a Abs. 1 und 2 AsylG).</w:t>
      </w:r>
    </w:p>
    <w:p>
      <w:r>
        <w:rPr>
          <w:b/>
        </w:rPr>
        <w:t>E. 3.1</w:t>
      </w:r>
    </w:p>
    <w:p>
      <w:r>
        <w:t>Die Vorinstanz hat korrekt erwogen, dass gestützt auf Art. 18 Abs. 1 Bst. d Dublin-III-VO grundsätzlich Österreich für die Behandlung des Asyl- gesuchs des Beschwerdeführers zuständig ist und dass das österreichi- sche Asylsystem rechtsprechungsgemäss keine systemischen Mängel auf- weist (vgl. statt vieler: Urteil des BVGer F-1736/2025 vom 4. April 2025 E. 2.1), aufgrund derer die Zuständigkeit gemäss Art. 3 Abs. 2 Dublin-III- VO auf die Schweiz überginge. Demnach erübrigen sich Weiterungen zur geltend gemachten Gefahr einer allfälligen Kettenabschiebung (einlässlich dazu Urteil des EuGH vom 30. November 2023, verbundene Rechtssachen C-228/21, C-254/21, C 297/21, C-315/21 und C-328/21, §§ 129-142 und Ziff. 2 des Dispositivs). Sodann hat die Vorinstanz zu Recht erkannt, dass vorliegend keine völkerrechtlichen Vollzugshindernisse ersichtlich sind, welche die Schweiz zu einem Selbsteintritt nach Art. 17 Abs. 1 Dublin-III- VO verpflichten würden. Dabei hat sie insbesondere die gesundheitlichen Probleme des Beschwerdeführers (Zahnschmerzen sowie Hämorrhoiden) berücksichtigt und rechtsprechungskonform gewürdigt. Des Weiteren hat die Vorinstanz korrekt erwogen, dass sich weder aus der Anwesenheit</w:t>
      </w:r>
    </w:p>
    <w:p>
      <w:r>
        <w:t>F-3740/2025 Seite 4 seiner Verlobten noch der in der Schweiz lebenden Schwester eine Zustän- digkeit der Eidgenossenschaft zur Durchführung des Asylverfahrens ablei- ten lässt (weder nach Art. 2 Bst. g noch nach Art. 16 Abs. 1 Dublin-III-VO, vgl. Urteile des BVGer E-4053/2024 vom 30. Juli 2024 E. 5.6 [in Bezug auf eine Verlobung]; F-2133/2025 vom 1. April 2025 E. 2.1 [bezüglich Angehö- riger ausserhalb der Kernfamilie]). Darüber hinaus hat die Vorinstanz in rechtsfehlerfreier Ausübung des ihr nach Art. 17 Abs. 1 Dublin-III-VO und Art. 29a Abs. 3 der Asylverordnung 1 vom 11. August 1999 (AsylV 1, SR 142.311) zukommenden Ermessens von einem Selbsteintritt der Schweiz abgesehen. Sie ist demnach zu Recht in Anwendung von Art. 31a Abs. 1 Bst. b AsylG auf das Asylgesuch des Beschwerdeführers nicht ein- getreten und hat in Anwendung von Art. 44 AsylG seine Wegweisung nach Österreich angeordnet. Zur näheren Begründung ist auf die korrekten vor- instanzlichen Erwägungen zu verweisen.</w:t>
      </w:r>
    </w:p>
    <w:p>
      <w:r>
        <w:rPr>
          <w:b/>
        </w:rPr>
        <w:t>E. 3.2</w:t>
      </w:r>
    </w:p>
    <w:p>
      <w:r>
        <w:t>Verbleibt anzumerken, dass die Vorbringen des Beschwerdeführers auf Rechtsmittelebene an der Richtigkeit der angefochtenen Verfügung nichts zu ändern vermögen. Namentlich bringt er hinsichtlich seines Gesundheits- zustandes sowie seiner familiären Beziehungen nichts Neues vor. Es ist daran zu erinnern, dass weder die Dublin-III-VO noch andere völkerrecht- liche Bestimmungen den Gesuchstellenden ein Recht einräumen, den für die Durchführung des Asylverfahrens zuständigen Staat selber frei zu wäh- len (BVGE 2010/45 E. 8.3). Ferner ist bei Beschwerden gegen Nichteintre- tensentscheide, mit denen es die Vorinstanz ablehnt, das Asylgesuch auf seine Begründetheit hin zu überprüfen (Art. 31a Abs. 1 AsylG), die Beurtei- lungskompetenz des Gerichts grundsätzlich auf die Frage beschränkt, ob die Vorinstanz zu Recht auf das Asylgesuch nicht eingetreten ist (vgl. BVGE 2017 VI/5 E. 3.1; 2012/4 E. 2.2, je m.w.H.). Damit erübrigen sich Weiterungen zu den geschilderten Vorkommnissen in der Türkei.</w:t>
      </w:r>
    </w:p>
    <w:p>
      <w:r>
        <w:rPr>
          <w:b/>
        </w:rPr>
        <w:t>E. 4</w:t>
      </w:r>
    </w:p>
    <w:p>
      <w:r>
        <w:t>Nach dem Gesagten ist die angefochtene Verfügung nicht zu beanstanden (Art. 106 AsylG). Die Beschwerde ist abzuweisen.</w:t>
      </w:r>
    </w:p>
    <w:p>
      <w:r>
        <w:rPr>
          <w:b/>
        </w:rPr>
        <w:t>E. 5.1</w:t>
      </w:r>
    </w:p>
    <w:p>
      <w:r>
        <w:t>Mit dem vorliegenden Urteil ist das Beschwerdeverfahren abgeschlos- sen, weshalb der angeordnete Vollzugsstopp dahinfällt.</w:t>
      </w:r>
    </w:p>
    <w:p>
      <w:r>
        <w:rPr>
          <w:b/>
        </w:rPr>
        <w:t>E. 5.2</w:t>
      </w:r>
    </w:p>
    <w:p>
      <w:r>
        <w:t>Die Verfahrenskosten sind dem unterliegenden Beschwerdeführer auf- zuerlegen (Art. 63 Abs. 1 VwVG) und auf insgesamt Fr. 750.– festzusetzen</w:t>
      </w:r>
    </w:p>
    <w:p>
      <w:r>
        <w:t>F-3740/2025 Seite 5 (Art. 1 ff. des Reglements vom 21. Februar 2008 über die Kosten und Ent- schädigungen vor dem Bundesverwaltungsgericht [VGKE, SR 173.320.2]).</w:t>
      </w:r>
    </w:p>
    <w:p>
      <w:r>
        <w:rPr>
          <w:b/>
        </w:rPr>
        <w:t>E. 6</w:t>
      </w:r>
    </w:p>
    <w:p>
      <w:r>
        <w:t>Dieses Urteil ist endgültig (Art. 83 Bst. d Ziff. 1 BGG).</w:t>
      </w:r>
    </w:p>
    <w:p>
      <w:r>
        <w:t>(Dispositiv nächste Seite)</w:t>
      </w:r>
    </w:p>
    <w:p>
      <w:r>
        <w:t>F-3740/2025 Seite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