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F-3740/2024 vom 7. Januar 2024</w:t>
      </w:r>
    </w:p>
    <w:p>
      <w:r>
        <w:t>Bundesverwaltungsgericht, 2024-01-07, DE</w:t>
      </w:r>
    </w:p>
    <w:p>
      <w:r>
        <w:rPr>
          <w:b/>
        </w:rPr>
        <w:t xml:space="preserve">Quelle: </w:t>
      </w:r>
      <w:r>
        <w:t>https://mcp.opencaselaw.ch/entscheid/bvger_F-3740_2024</w:t>
      </w:r>
    </w:p>
    <w:p>
      <w:r>
        <w:t>FR: TAF F-3740/2024 du 7 janvier 2024</w:t>
      </w:r>
    </w:p>
    <w:p>
      <w:r>
        <w:t>IT: TAF F-3740/2024 del 7 gennaio 2024</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hat die Ausschreibung im SIS nicht angefoch- ten und damit den Streitgegenstand eingeschränkt. Gegenstand der vor- liegenden Beschwerde bildet damit lediglich das Einreiseverbot in die Schweiz; ob die Ausschreibung im SIS zu Recht erfolgte, ist nicht zu prü- fen.</w:t>
      </w:r>
    </w:p>
    <w:p>
      <w:r>
        <w:rPr>
          <w:b/>
        </w:rPr>
        <w:t>E. 1.4</w:t>
      </w:r>
    </w:p>
    <w:p>
      <w:r>
        <w:t>Die Beschwerdeführerin ist zur Erhebung der Beschwerde legitimiert (Art. 48 Abs. 1 VwVG). Auf die frist- und formgerecht eingereichte Be- schwerde ist daher einzutreten (Art. 50 Abs. 1 VwVG und Art. 52 Abs. 1 VwVG).</w:t>
      </w:r>
    </w:p>
    <w:p>
      <w:r>
        <w:t>F-3740/2024 Seite 4</w:t>
      </w:r>
    </w:p>
    <w:p>
      <w:r>
        <w:rPr>
          <w:b/>
        </w:rPr>
        <w:t>E. 1.5</w:t>
      </w:r>
    </w:p>
    <w:p>
      <w:r>
        <w:t>Das Bundesverwaltungsgericht entscheidet in der vorliegenden Ange- legenheit endgültig (vgl. Art. 83 Bst. c Ziff. 1 BGG).</w:t>
      </w:r>
    </w:p>
    <w:p>
      <w:r>
        <w:rPr>
          <w:b/>
        </w:rPr>
        <w:t>E. 2.1</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werden (vgl. Art. 49 VwVG). Das BVGer wendet das Bundesrecht von Amtes wegen an. Es ist gemäss Art. 62 Abs. 4 VwVG nicht an die Begründ- ung der Begehren gebunden und kann die Beschwerde auch aus anderen als den geltend gemachten Gründen gutheissen oder abweisen. Mass- geblich ist grundsätzlich die Sachlage zum Zeitpunkt seines Entscheides (vgl. BVGE 2020 VII/4 E. 2.2 m.H., 2014/1 E. 2).</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Gestützt auf Art. 67 Abs. 1 Bst. c AIG (SR 142.20) erlässt das SEM ein Einreiseverbot gegenüber weggewiesenen Ausländerinnen und Auslän- dern, wenn sie gegen die öffentliche Sicherheit und Ordnung in der Schweiz oder im Ausland verstossen haben oder diese gefährden. Nach Art. 67 Abs. 1 Bst. d AIG verfügt die Vorinstanz zudem Einreiseverbote ge- genüber weggewiesenen Ausländerinnen und Ausländern, wenn sie be- straft worden sind, weil sie Handlungen im Sinne von Art. 115 Abs. 1, 116, 117 oder 118 AIG begangen haben oder weil sie versucht haben, solche Handlungen zu begehen. Ein Verstoss gegen die öffentliche Sicherheit und Ordnung liegt unter an- derem dann vor, wenn gesetzliche Vorschriften oder behördliche Verfügun- gen missachtet werden (Art. 77a Abs. 1 Bst. a der Verordnung vom 24. Ok- tober 2007 über Zulassung, Aufenthalt und Erwerbstätigkeit [VZAE, SR 142.201]). Widerhandlungen gegen Normen des Ausländerrechts fallen ohne Weiteres unter diese Begriffsbestimmung und können ein Einreise- verbot nach sich ziehen. Beim Fernhaltegrund des Verstosses gegen die öffentliche Sicherheit und Ordnung bedarf es denn auch keiner ungünsti- gen Prognose betreffend das Risiko weiterer Verstösse (vgl. Urteil des BVGer F-4866/2023 vom 25. März 2024 E. 4.2 m.H.).</w:t>
      </w:r>
    </w:p>
    <w:p>
      <w:r>
        <w:t>F-3740/2024 Seite 5</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3.3</w:t>
      </w:r>
    </w:p>
    <w:p>
      <w:r>
        <w:t>Der Bestand und die Dauer des Einreiseverbots sind unter dem Blick- winkel der Verhältnismässigkeit staatlichen Handelns (Art. 5 Abs. 2 BV, Art. 96 Abs. 1 AIG) zu überprüfen. Eine Prognose, für welchen Zeitraum die Sicherungsmassnahme notwendig sein wird, ist naturgemäss nicht möglich. Abstufungen betreffend die Dauer ergeben sich aus der werten- 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w:t>
      </w:r>
    </w:p>
    <w:p>
      <w:r>
        <w:rPr>
          <w:b/>
        </w:rPr>
        <w:t>E. 4.1</w:t>
      </w:r>
    </w:p>
    <w:p>
      <w:r>
        <w:t>Die Vorinstanz begründete das Einreiseverbot damit, dass sich die Be- schwerdeführerin über den bewilligungsfreien Aufenthalt hinaus im Schen- gen-Raum aufgehalten und damit gegen die schengenrechtlichen Einreise- und Aufenthaltsvoraussetzungen verstossen habe. Damit gehe eine ernst- hafte Gefährdung der öffentlichen Sicherheit und Ordnung gemäss Art. 67 Abs. 1 Bst. c AIG einher.</w:t>
      </w:r>
    </w:p>
    <w:p>
      <w:r>
        <w:rPr>
          <w:b/>
        </w:rPr>
        <w:t>E. 4.2</w:t>
      </w:r>
    </w:p>
    <w:p>
      <w:r>
        <w:t>Die Beschwerdeführerin macht geltend, sie reise seit (…) Jahren regel- mässig in die Schweiz und habe sich noch nie einen Verstoss gegen die Gesetzgebung zuschulden kommen lassen. Ferner sei zu berücksichtigen, dass sie bereits (...) Jahre alt und ihre Tochter ernsthaft erkrankt sei. Ein einjähriges Einreiseverbot sei deshalb eine enorm lange Zeit. Es sei unklar, wie sich der Gesundheitszustand ihrer Tochter entwickle und es müsse mit plötzlich notwendigen medizinischen Eingriffen gerechnet werden. Als Mut- ter müsse es ihr in einer solchen Situation erlaubt sein, ihrem Kind beizu- stehen. Sie sei mit der Sorge und Pflege ihrer Tochter beschäftigt gewesen, weshalb sie ihren Ausreisetermin ohne böse Absicht verpasst habe. Von</w:t>
      </w:r>
    </w:p>
    <w:p>
      <w:r>
        <w:t>F-3740/2024 Seite 6 ihr gehe eindeutig keine Gefahr für die öffentliche Sicherheit und Ordnung aus. Das Einreiseverbot stelle aber einen schwerwiegenden Eingriff in ihr Recht auf Achtung des Privat- und Familienlebens dar. Ihr privates Inte- resse überwiege damit das öffentliche Fernhalteinteresse klar.</w:t>
      </w:r>
    </w:p>
    <w:p>
      <w:r>
        <w:rPr>
          <w:b/>
        </w:rPr>
        <w:t>E. 5.1</w:t>
      </w:r>
    </w:p>
    <w:p>
      <w:r>
        <w:t>Die Beschwerdeführerin bestreitet die Überschreitung der legalen Auf- enthaltsdauer in der Schweiz nicht. Mit ihrem Overstay von 33 Tagen hat sie ausländerrechtliche Bestimmungen verletzt und gegen die öffentliche Sicherheit und Ordnung verstossen. Der Fernhaltegrund nach Art. 67 Abs. 1 Bst. c AIG ist damit gesetzt. Sie wurde deshalb auch zu einer Busse von (…) verurteilt. Die Voraussetzungen von Art. 67 Abs. 1 Bst. d AIG sind somit ebenfalls erfüllt und die Vorinstanz durfte ein Einreiseverbot gegen die Beschwerdeführerin verfügen.</w:t>
      </w:r>
    </w:p>
    <w:p>
      <w:r>
        <w:rPr>
          <w:b/>
        </w:rPr>
        <w:t>E. 5.2</w:t>
      </w:r>
    </w:p>
    <w:p>
      <w:r>
        <w:t>Das generalpräventiv motivierte Interesse daran, die ausländerrechtli- che Ordnung durch eine konsequente Massnahmenpraxis zu schützen, ist als gewichtig einzustufen. Dazu kommt eine spezialpräventive Zielsetzung der Massnahme, die Betroffene zu ermahnen, ausländerrechtliche Be- stimmungen zukünftig einzuhalten und so einer weiteren Störung der öf- fentlichen Sicherheit und Ordnung entgegenzuwirken (vgl. zuletzt Urteil des BVGer F-6965/2023 vom 17. September 2024 E. 8.1). Mit ihrem Ver- halten hat die Beschwerdeführerin gegen die öffentliche Sicherheit und Ordnung verstossen. Es besteht ein gewichtiges öffentliches Interesse an ihrer befristeten Fernhaltung. Was das private Interesse der Beschwerdeführerin betrifft, ihre Tochter in der Schweiz zu besuchen, ist festzuhalten, dass sie den Kontakt während der Dauer des Einreiseverbots durch Kommunikationsmittel aufrechterhal- ten können. Die Tochter ist(..)-jährig, lebt seit (…) Jahren in der Schweiz und ist hier berufstätig. Zwischen ihr und ihrer Mutter besteht keinerlei Ab- hängigkeitsverhältnis. Die Tochter kann die Beschwerdeführerin auch in Nordmazedonien besuchen, zumal den Akten nicht zu entnehmen ist, dass deren gesundheitlichen Beschwerden nach einem im (…) erfolgten medi- zinischen Eingriff derart gravierend sind, dass sie nicht reisefähig wäre.</w:t>
      </w:r>
    </w:p>
    <w:p>
      <w:r>
        <w:rPr>
          <w:b/>
        </w:rPr>
        <w:t>E. 5.3</w:t>
      </w:r>
    </w:p>
    <w:p>
      <w:r>
        <w:t>Eine Abwägung der öffentlichen gegenüber den privaten Interessen der Beschwerdeführerin ergibt, dass das Einreiseverbot zu bestätigen ist. Ein einjähriges Einreiseverbot erscheint als geeignet, Gewähr dafür zu bieten, dass die Beschwerdeführerin die in der Schweiz beziehungsweise im Schengen-Raum geltenden migrationsrechtlichen Vorschriften künftig ein- hält. Im Hinblick auf ihre persönliche Situation und auch unter Berück-</w:t>
      </w:r>
    </w:p>
    <w:p>
      <w:r>
        <w:t>F-3740/2024 Seite 7 sichtigung vergleichbarer Fälle (siehe Urteile des BVGer F-2184/2022 vom 15. März 2023, F-5085/2022 vom 23. August 2023) erweist sich das ein- jährige Einreiseverbot als verhältnismässig.</w:t>
      </w:r>
    </w:p>
    <w:p>
      <w:r>
        <w:rPr>
          <w:b/>
        </w:rPr>
        <w:t>E. 6</w:t>
      </w:r>
    </w:p>
    <w:p>
      <w:r>
        <w:t>Zusammenfassend ergibt sich aus der wertenden Gewichtung der sich ge- genüberstehenden Interessen und der Berücksichtigung der Rechtspre- chung in ähnlichen Fällen, dass das Einreiseverbot dem Grundsatz nach zu bestätigen ist und auch in Bezug auf die Dauer verhältnismässig er- scheint.</w:t>
      </w:r>
    </w:p>
    <w:p>
      <w:r>
        <w:rPr>
          <w:b/>
        </w:rPr>
        <w:t>E. 7</w:t>
      </w:r>
    </w:p>
    <w:p>
      <w:r>
        <w:t>Das einjährige Einreiseverbot stellt eine angemessene Massnahme zum Schutz der öffentlichen Sicherheit und Ordnung dar. Die angefochtene Ver- fügung ist im Lichte von Art. 49 VwVG nicht zu beanstanden. Die Be- schwerde ist abzuweisen.</w:t>
      </w:r>
    </w:p>
    <w:p>
      <w:r>
        <w:rPr>
          <w:b/>
        </w:rPr>
        <w:t>E. 8</w:t>
      </w:r>
    </w:p>
    <w:p>
      <w:r>
        <w:t>Bei diesem Ausgang des Verfahrens sind die Kosten der Beschwerdefüh- rerin aufzuerlegen (Art. 63 Abs. 1 VwVG) und auf insgesamt Fr. 900.– fest- zusetzen (Art. 1-3 des Reglements vom 21. Februar 2008 über die Kosten und Entschädigungen vor dem Bundesverwaltungsgericht [VGKE, SR 173.320.2]). Der am 19. August 2024 in der gleichen Höhe geleistete Kos- tenvorschuss ist zur Bezahlung der Verfahrenskosten zu verwenden.</w:t>
      </w:r>
    </w:p>
    <w:p>
      <w:r>
        <w:t>Eine Parteientschädigung fällt ausgangsgemäss ausser Betracht (Art. 64 Abs. 1 VwVG e contrario).</w:t>
      </w:r>
    </w:p>
    <w:p>
      <w:r>
        <w:t>(Dispositiv nächste Seite)</w:t>
      </w:r>
    </w:p>
    <w:p>
      <w:r>
        <w:t>F-3740/2024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