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F-3736/2023 vom 12. Juli 2023</w:t>
      </w:r>
    </w:p>
    <w:p>
      <w:r>
        <w:t>Bundesverwaltungsgericht, 2023-07-12, DE</w:t>
      </w:r>
    </w:p>
    <w:p>
      <w:r>
        <w:rPr>
          <w:b/>
        </w:rPr>
        <w:t xml:space="preserve">Quelle: </w:t>
      </w:r>
      <w:r>
        <w:t>https://mcp.opencaselaw.ch/entscheid/bvger_F-3736_2023</w:t>
      </w:r>
    </w:p>
    <w:p>
      <w:r>
        <w:t>FR: TAF F-3736/2023 du 12 juillet 2023</w:t>
      </w:r>
    </w:p>
    <w:p>
      <w:r>
        <w:t>IT: TAF F-3736/2023 del 12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Die Beschwerdeführerin ist zur Beschwerdeanhebung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Der nach der Dublin-III-VO zuständige Mitgliedstaat ist verpflichtet,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w:t>
      </w:r>
    </w:p>
    <w:p>
      <w:r>
        <w:rPr>
          <w:b/>
        </w:rPr>
        <w:t>E. 3.4</w:t>
      </w:r>
    </w:p>
    <w:p>
      <w:r>
        <w:t>Im Rahmen eines Wiederaufnahmeverfahrens (engl.: take back) findet grundsätzlich keine (erneute) Zuständigkeitsprüfung nach Kapitel III statt. Demgegenüber sind im Fall eines sogenannten Aufnahmeverfahrens (engl.: take charge)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zum Ganzen BVGE 2017 VI/5 E. 6.2 und 8.2.1 m.w.H.).</w:t>
      </w:r>
    </w:p>
    <w:p>
      <w:r>
        <w:rPr>
          <w:b/>
        </w:rPr>
        <w:t>E. 3.5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3.7</w:t>
      </w:r>
    </w:p>
    <w:p>
      <w:r>
        <w:t>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4.1</w:t>
      </w:r>
    </w:p>
    <w:p>
      <w:r>
        <w:t>Die Beschwerdeführerin macht geltend, die Vorinstanz habe die Untersuchungspflicht sowie die Begründungspflicht und somit ihren Anspruch auf rechtliches Gehör verletzt. Das SEM sei insbesondere seiner Pflicht, ihre gesundheitliche und familiäre Situation rechtsgenüglich abzuklären, nicht nachgekommen.</w:t>
      </w:r>
    </w:p>
    <w:p>
      <w:r>
        <w:rPr>
          <w:b/>
        </w:rPr>
        <w:t>E. 4.2</w:t>
      </w:r>
    </w:p>
    <w:p>
      <w:r>
        <w:t>Diese formellen Rügen sind vorab zu beurteilen, da sie allenfalls geeignet sein könnten, eine Kassation der angefochtenen Verfügung zu bewirken (vgl. BGE 137 I 195 E. 2.2).</w:t>
      </w:r>
    </w:p>
    <w:p>
      <w:r>
        <w:rPr>
          <w:b/>
        </w:rPr>
        <w:t>E. 5.1</w:t>
      </w:r>
    </w:p>
    <w:p>
      <w:r>
        <w:t>Der in Art. 29 Abs. 2 BV garantierte und in den Art. 26 - 33 VwVG konkretisierte Grundsatz des rechtlichen Gehörs umfasst alle Befugnisse, die einer Partei einzuräumen sind, damit sie ihren Standpunkt wirksam zur Geltung bringen kann (vgl. BGE 145 I 167 E. 4.1; 135 II 286 E. 5.1; BVGE 2013/23 E. 6.1.1). Dazu gehört insbesondere das Recht des Betroffenen, sich zur Sache zu äussern. Der Anspruch auf rechtliches Gehör dient einerseits der Sachaufklärung und stellt andererseits ein persönlichkeitsbezogenes Mitwirkungsrecht der Partei dar. Mit dem Gehörsanspruch korreliert die Pflicht der Behörden, die Vorbringen des vom Entscheid in seiner Rechtsstellung Betroffenen tatsächlich zu hören, sorgfältig und ernsthaft zu prüfen und in der Entscheidfindung angemessen zu berücksichtigen (Art. 32 Abs. 1 VwVG).</w:t>
      </w:r>
    </w:p>
    <w:p>
      <w:r>
        <w:rPr>
          <w:b/>
        </w:rPr>
        <w:t>E. 5.2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(BVGE 2014/2 E. 5.1).</w:t>
      </w:r>
    </w:p>
    <w:p>
      <w:r>
        <w:rPr>
          <w:b/>
        </w:rPr>
        <w:t>E. 5.3</w:t>
      </w:r>
    </w:p>
    <w:p>
      <w:r>
        <w:t>Bereits anlässlich der Gewährung des rechtlichen Gehörs am 4. Mai 2023 gab die Beschwerdeführerin an, sie habe seit ihrer Kindheit eine psychologische Störung, sei deswegen in der Türkei in Behandlung gewesen und habe regelmässig Medikamente eingenommen. Ihre Probleme seien durch das Erdbeben und die Erlebnisse während der Reise in die Schweiz verstärkt worden. Sie habe im Empfangszentrum um einen Termin bei einem Psychologen gebeten, aber nur Medikamente erhalten, welche nicht geholfen hätten. Mit Eingabe ihrer Rechtsvertretung vom 8. Mai 2023 ersuchte die Beschwerdeführerin formell um eine psychologisch-psychiatrische Behandlung und erwähnte dabei, dass sie unter Schlafstörungen, Vergesslichkeit und Panikattacken leide. Ihrem Schreiben legte sie mehrere Arztberichte bei, welche bestätigen, dass sie seit ihrer Kindheit unter psychologischen Problemen leidet und deswegen in Behandlung war. Mit Schreiben vom 8. Juni 2023 erneuerte die Beschwerdeführerin ihren Antrag auf psychologisch-psychiatrische Betreuung, mit der Begründung, dass sie bei der Pflege regelmässig um psychologische Betreuung angefragt, aber noch keine erhalten habe. Die Rechtsvertretung unterstrich in ihrer Eingabe, dass die Beschwerdeführerin unter Trennungsängsten leide, kaum getrennt von ihrer Mutter schlafen und aus dem Haus gehen könne und sich allgemein in einem äusserst fragilen psychologischen Zustand befinde.</w:t>
      </w:r>
    </w:p>
    <w:p>
      <w:r>
        <w:rPr>
          <w:b/>
        </w:rPr>
        <w:t>E. 5.4</w:t>
      </w:r>
    </w:p>
    <w:p>
      <w:r>
        <w:t>Es lagen somit deutliche Hinweise auf das Bestehen gesundheitlicher Probleme vor. Aufgrund der Akten ist davon auszugehen, dass die Beschwerdeführerin seit ihrer Kindheit unter psychischen Problemen leidet und sich diese in den letzten Monaten verschlimmert haben. Trotzdem wurde der medizinische Sachverhalt vor dem Nichteintretensentscheid nicht näher abgeklärt und erhielt die Beschwerdeführerin erst nach Verfügungserlass Zugang zu einer ärztlichen Betreuung.</w:t>
      </w:r>
    </w:p>
    <w:p>
      <w:r>
        <w:rPr>
          <w:b/>
        </w:rPr>
        <w:t>E. 5.5</w:t>
      </w:r>
    </w:p>
    <w:p>
      <w:r>
        <w:t>Die Einschätzung des Gerichts, wonach die Beschwerdeführerin unter erheblichen psychischen Problemen leidet, welche eine vertiefte medizinische Abklärung nötig machen, wird bestätigt durch einen am 4. Juli 2023 nachgereichten Arztbericht des Ambulatoriums X._______, aus dem hervorgeht, dass die Beschwerdeführerin vorbestehend an einer Angst- und depressiven Störung leidet und sich nun zudem eine posttraumatische Belastungsstörung manifestiert hat, welche dringlich einer psychotherapeutischen Behandlung bedarf. Die Patientin wurde deshalb dringlich einem Psychiater zugewiesen. Ausserdem stellte der Arzt eine Reiseunfähigkeit fest.</w:t>
      </w:r>
    </w:p>
    <w:p>
      <w:r>
        <w:rPr>
          <w:b/>
        </w:rPr>
        <w:t>E. 5.6</w:t>
      </w:r>
    </w:p>
    <w:p>
      <w:r>
        <w:t>Indem die Vorinstanz am 20. Juni 2023 die angefochtene Verfügung erliess, ohne den medizinischen Sachverhalt - welcher im vorliegenden Fall insbesondere für die Anwendung von Art. 16 Dublin-III-VO sowie Art. 29a Abs. 3 AsylV 1 rechtswesentlich ist - genauer abzuklären, verletzte sie ihre Untersuchungspflicht. Aufgrund der psychischen Störungen der Beschwerdeführerin wäre zudem eine angemessene Begründung der Verfügung in Bezug auf die Familienverhältnisse und zum Bestehen eines allfälligen Abhängigkeitsverhältnisses angezeigt gewesen. Das SEM ist damit auch seiner Begründungspflicht nicht rechtsgenüglich nachgekommen.</w:t>
      </w:r>
    </w:p>
    <w:p>
      <w:r>
        <w:rPr>
          <w:b/>
        </w:rPr>
        <w:t>E. 6</w:t>
      </w:r>
    </w:p>
    <w:p>
      <w:r>
        <w:t>Die angefochtene Verfügung ist daher aus formellen Gründen aufzuheben und das SEM aufzufordern, den Sachverhalt vollständig festzustellen und - unter Beachtung der Begründungspflicht - neu zu beurteilen.</w:t>
      </w:r>
    </w:p>
    <w:p>
      <w:r>
        <w:rPr>
          <w:b/>
        </w:rPr>
        <w:t>E. 7</w:t>
      </w:r>
    </w:p>
    <w:p>
      <w:r>
        <w:t>Nach dem Gesagten ist die Beschwerde insofern gutzuheissen, als die Aufhebung der vorinstanzlichen Verfügung und die Rückweisung der Sache beantragt wird. Die Verfügung vom 20. Juni 2023 ist aufzuheben und die Sache zur vollständigen Sachverhaltsfeststellung und Neubeurteilung im Sinne der Erwägungen an die Vorinstanz zurückzuweisen. Angesichts des Verfahrensausgangs erübrigt es sich, auf die weiteren Beschwerdevorbringen näher einzugehen.</w:t>
      </w:r>
    </w:p>
    <w:p>
      <w:r>
        <w:rPr>
          <w:b/>
        </w:rPr>
        <w:t>E. 8</w:t>
      </w:r>
    </w:p>
    <w:p>
      <w:r>
        <w:t>Mit diesem Urteil werden das Gesuch um Gewährung der aufschiebenden Wirkung sowie der am 4. Juli 2023 angeordnete Vollzugstopp gegenstandslos.</w:t>
      </w:r>
    </w:p>
    <w:p>
      <w:r>
        <w:rPr>
          <w:b/>
        </w:rPr>
        <w:t>E. 9.1</w:t>
      </w:r>
    </w:p>
    <w:p>
      <w:r>
        <w:t>Bei diesem Ausgang des Verfahrens sind der Beschwerdeführerin keine Kosten aufzuerlegen (Art. 63 Abs. 1 VwVG). Das Gesuch um Gewährung der unentgeltlichen Prozessführung ist gegenstandslos geworden.</w:t>
      </w:r>
    </w:p>
    <w:p>
      <w:r>
        <w:rPr>
          <w:b/>
        </w:rPr>
        <w:t>E. 9.2</w:t>
      </w:r>
    </w:p>
    <w:p>
      <w:r>
        <w:t>Der Beschwerdeführerin ist keine Parteientschädigung auszurichten, da es sich vorliegend um eine zugewiesene unentgeltliche Rechtsvertretung im Sinne von Art. 102h AsylG handelt, deren Leistungen vom Bund nach Massgabe von Art. 102k AsylG entschädigt werden (vgl. auch Art. 111a 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