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F-3736/2017 vom 24. Mai 2018</w:t>
      </w:r>
    </w:p>
    <w:p>
      <w:r>
        <w:t>Bundesverwaltungsgericht, 2018-05-24, DE</w:t>
      </w:r>
    </w:p>
    <w:p>
      <w:r>
        <w:rPr>
          <w:b/>
        </w:rPr>
        <w:t xml:space="preserve">Quelle: </w:t>
      </w:r>
      <w:r>
        <w:t>https://mcp.opencaselaw.ch/entscheid/bvger_F-3736_2017</w:t>
      </w:r>
    </w:p>
    <w:p>
      <w:r>
        <w:t>FR: TAF F-3736/2017 du 24 mai 2018</w:t>
      </w:r>
    </w:p>
    <w:p>
      <w:r>
        <w:t>IT: TAF F-3736/2017 del 24 maggio 2018</w:t>
      </w:r>
    </w:p>
    <w:p>
      <w:pPr>
        <w:pStyle w:val="Heading2"/>
      </w:pPr>
      <w:r>
        <w:t>Regeste</w:t>
      </w:r>
    </w:p>
    <w:p>
      <w:r>
        <w:t>Einreiseverbot</w:t>
      </w:r>
    </w:p>
    <w:p>
      <w:pPr>
        <w:pStyle w:val="Heading2"/>
      </w:pPr>
      <w:r>
        <w:t>Erwägungen</w:t>
      </w:r>
    </w:p>
    <w:p>
      <w:r>
        <w:rPr>
          <w:b/>
        </w:rPr>
        <w:t>E. 1.1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Die Vorinstanz hat das Einreiseverbot wiedererwägungsweise auf die Dauer von insgesamt zehn Jahre befristet (bis am 28. Juni 2020). Soweit die Beschwerde dadurch nicht gegenstandslos geworden ist, bleibt der Rechtsstreit aufrecht erhalten (Art. 58 Abs. 3 VwVG).</w:t>
      </w:r>
    </w:p>
    <w:p>
      <w:r>
        <w:rPr>
          <w:b/>
        </w:rPr>
        <w:t>E. 1.4</w:t>
      </w:r>
    </w:p>
    <w:p>
      <w:r>
        <w:t>Das Bundesverwaltungsgericht entscheidet in der vorliegenden Sache endgültig (Art. 83 Bst. c Ziff. 1 BGG).</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prüfen, ob sich das Einreiseverbot heute noch als bundesrechtskonform erweist (vgl. Art. 49 VwVG). Die Frage, ob die ursprüngliche - unangefochten in Rechtskraft erwachsene - Verfügung zu Recht erlassen wurde, kann demgegenüber nicht mehr Gegenstand des vorliegenden Verfahrens bilden (vgl. BVGE 2008/24 E. 2.2 m.H.).</w:t>
      </w:r>
    </w:p>
    <w:p>
      <w:r>
        <w:rPr>
          <w:b/>
        </w:rPr>
        <w:t>E. 3</w:t>
      </w:r>
    </w:p>
    <w:p>
      <w:r>
        <w:t>Vorab ist auf die Rüge des Beschwerdeführers einzugehen, die Vorinstanz sei ihrer Begründungspflicht nicht nachgekommen und habe damit eine grobe Gehörsverletzung begangen.</w:t>
      </w:r>
    </w:p>
    <w:p>
      <w:r>
        <w:rPr>
          <w:b/>
        </w:rPr>
        <w:t>E. 3.1</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Betroffenen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zum Ganzen BGE 137 II 266 E. 3.2; BVGE 2012/24 E. 3.2).</w:t>
      </w:r>
    </w:p>
    <w:p>
      <w:r>
        <w:rPr>
          <w:b/>
        </w:rPr>
        <w:t>E. 3.2</w:t>
      </w:r>
    </w:p>
    <w:p>
      <w:r>
        <w:t>Aus dem Umfang der Begründung lassen sich keine direkten Schlüsse auf ihr rechtliches Genügen ziehen. Massgebend ist allein, ob sie ihre Funktion erfüllt. Das kann auch eine knappe Begründung leisten. Es trifft zu, dass die Begründung der angefochtenen Verfügung den Prozess der Interessenabwägung nicht wiederspiegelt. Sie hält lediglich deren Ergebnis fest, nämlich dass das öffentliche Interesse an der Fernhaltung des Beschwerdeführers überwiegt. Es ist indessen festzustellen, dass die betroffenen öffentlichen und privaten Interessen im Rahmen des Verfahrens betreffend Einreisebewilligung zum Verbleib bei der Ehefrau bereits umfassende gewürdigt wurden (vgl. Urteil des Verwaltungsgerichts des Kantons Zürich vom 19. April 2017; Akt.-ZH 599-611). Indem die Vorinstanz in der angefochtenen Verfügung zu erkennen gibt, sie mache sich den Standpunkt der sich mit dem Familiennachzugsgesuch befassten Instanzen zu eigen, gab sie implizit zu verstehen, dass die Einwände an ihrem Standpunkt nichts zu ändern vermöchten. Unter den dargestellten Umständen war für den Beschwerdeführer durchaus erkennbar, von welchen Motiven sich die Vorinstanz leiten liess. Einer wirksamen Wahrung seiner Parteirechte stand unter diesem Gesichtspunkt nichts entgegen.</w:t>
      </w:r>
    </w:p>
    <w:p>
      <w:r>
        <w:rPr>
          <w:b/>
        </w:rPr>
        <w:t>E. 3.3</w:t>
      </w:r>
    </w:p>
    <w:p>
      <w:r>
        <w:t>Aus den vorstehenden Erwägungen ergibt sich, dass die Rüge des Beschwerdeführers als unbegründet zurückzuweisen ist.</w:t>
      </w:r>
    </w:p>
    <w:p>
      <w:r>
        <w:rPr>
          <w:b/>
        </w:rPr>
        <w:t>E. 4.1</w:t>
      </w:r>
    </w:p>
    <w:p>
      <w:r>
        <w:t>Das SEM kann Einreiseverbote gegen ausländische Personen erlassen, die gegen die öffentliche Sicherheit und Ordnung verstossen haben oder diese gefährden (Art. 67 Abs. 2 Bst. a AuG). Die Regelhöchstdauer des Einreiseverbots von fünf Jahren darf überschritten werden, wenn der Betroffene eine schwerwiegende Gefahr für die öffentliche Sicherheit und Ordnung darstellt (Art. 67 Abs. 3 AuG). Die verfügende Behörde kann ausnahmsweise aus humanitären oder anderen wichtigen Gründen von der Verhängung eines Einreiseverbots absehen oder ein Einreiseverbot endgültig oder vorübergehend aufheben (Art. 67 Abs. 5 AuG). Mit dieser Bestimmung existiert eine spezialgesetzliche Grundlage für die Wiedererwägung eines Einreiseverbots (vgl. Urteil des BGer 2C_487/2012 vom 2. April 2013 E. 4.2).</w:t>
      </w:r>
    </w:p>
    <w:p>
      <w:r>
        <w:rPr>
          <w:b/>
        </w:rPr>
        <w:t>E. 4.2</w:t>
      </w:r>
    </w:p>
    <w:p>
      <w:r>
        <w:t>Einreiseverbote wurden gemäss alter Praxis auf unbestimmte Dauer erlassen, wenn zum Zeitpunkt der Verfügung keine zuverlässige Prognose abgegeben werden konnte, wie lange ein relevantes Risiko für die öffentliche Sicherheit und Ordnung anzunehmen war. Die fehlende Befristung bedeutete jedoch nicht, dass die verhängten Einreiseverbote "lebenslänglich" galten. Verhielt sich die betroffene Person während langer Zeit klaglos, so war dies ein Argument, das für den nachträglichen Wegfall des öffentlichen Sicherheitsbedürfnisses und damit für eine nachträglich wesentlich veränderte Sachlage sprechen konnte. Dabei wurde auf die gesamten Umstände des Einzelfalles abgestellt (vgl. BVGE 2014/20 E. 6 ff.). Dem hat die Vorinstanz im vorliegenden Fall Rechnung getragen, indem sie das Wiedererwägungsgesuch des Beschwerdeführers vom 19. Mai 2017 teilweise guthiess und die verhängte Fernhaltemassnahme auf zehn Jahre befristete (vgl. Bst. G).</w:t>
      </w:r>
    </w:p>
    <w:p>
      <w:r>
        <w:rPr>
          <w:b/>
        </w:rPr>
        <w:t>E. 5</w:t>
      </w:r>
    </w:p>
    <w:p>
      <w:r>
        <w:t>Das SEM hat das gegen den Beschwerdeführer am 29. Juni 2010 verhängte unbefristete Einreiseverbot in erster Linie mit seinen strafrechtlichen Verurteilungen zwischen Oktober 1995 und Mai 2007 und der damit an den Tag gelegten kriminellen Energie begründet. Ins Gewicht fielen insbesondere die Urteile des Bezirksgerichts Zürich vom 22. November 2004 zu zwölf Monaten Gefängnis wegen mehrfacher Widerhandlung gegen das Betäubungsmittelgesetz und mehrfacher Übertretung desselben, Hehlerei sowie Widerhandlung gegen das Waffengesetz und jenes vom 8. Mai 2007 zu dreieinhalb Jahren Freiheitsstrafe wegen qualifizierter Widerhandlung gegen das Betäubungsmittelgesetz sowie mehrfacher Übertretung desselben (vgl. Akt.-ZH 48-69 sowie 86-105). Das Gericht führte in seiner Urteilsbegründung aus, der Beschwerdeführer habe sich über die Deckung seines Eigenkonsums hinaus und aus rein finanziellen Motiven von Ende 2004 bis anfangs April 2005 am Verkauf einer erheblichen Menge harter Drogen (ca. ½ kg Kokaingemischs) sowie im April 2005 an der Einfuhr von einem Kilogramm Kokain beteiligt. Zudem sei er - wenn auch nur am Rande - an der Einfuhr von Drogen aus Spanien sowie bei der Vermittlung eines Drogenkuriers beteiligt gewesen. Des Weiteren habe er eine Pistole als Geschenk entgegen genommen und diese verkauft. Sein Verschulden wurde dabei als erheblich bezeichnet (SEM Akt. 44). Dem Gesagten nach hat er unbestrittenermassen eine Menge an Kokain verkauft, welche die Schwelle zum qualifizierten Fall gemäss Art. 19 Ziff. 2 Bst. a BetmG (SR 812.121) um ein Vielfaches überschreitet. Es kann damit zweifelsfrei festgestellt werden, dass der Beschwerdeführer die öffentliche Sicherheit und Ordnung im Sinne von Art. 67 Abs. 2 Bst. a AuG verletzt und einen Fernhaltegrund gesetzt hat.</w:t>
      </w:r>
    </w:p>
    <w:p>
      <w:r>
        <w:rPr>
          <w:b/>
        </w:rPr>
        <w:t>E. 6.1</w:t>
      </w:r>
    </w:p>
    <w:p>
      <w:r>
        <w:t>Die Vorinstanz ist davon ausgegangen, dass nach wie vor ein überwiegendes öffentliches Interesse daran besteht, den Beschwerdeführer länger als fünf Jahre von der Schweiz fernzuhalten. Nachfolgend ist demnach zu prüfen, ob vom Beschwerdeführer eine noch anhaltende schwerwiegende Gefahr für die öffentliche Sicherheit und Ordnung im Sinne von Art. 67 Abs. 3 zweiter Satz AuG ausgeht (vgl. E. 4.1).</w:t>
      </w:r>
    </w:p>
    <w:p>
      <w:r>
        <w:rPr>
          <w:b/>
        </w:rPr>
        <w:t>E. 6.2</w:t>
      </w:r>
    </w:p>
    <w:p>
      <w:r>
        <w:t>Gemäss der bundesgerichtlichen Rechtsprechung kann sich die schwerwiegende Gefahr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(vgl. BVGE 2014/20 E. 5.2 m.H.; BGE 139 II 121 E. 6.3 m.H.).</w:t>
      </w:r>
    </w:p>
    <w:p>
      <w:r>
        <w:rPr>
          <w:b/>
        </w:rPr>
        <w:t>E. 6.3</w:t>
      </w:r>
    </w:p>
    <w:p>
      <w:r>
        <w:t>Die Verneinung des Vorliegens einer schwerwiegenden Gefährdung ist erst nach einer längerfristigen Bewährung der straffällig gewordenen Person möglich. Dabei ist für die Berechnung der Dauer des klaglosen Verhaltens nicht auf den Begehungs- oder Urteilszeitpunkt anzustellen. Entscheidrelevant erscheint vielmehr, wie lange sich die betroffene Person nach ihrer Entlassung aus der Haft in Freiheit bewährt hat (vgl. BVGE 2014/20 E. 5.4 m.H.). Im Weiteren ist zu beachten, dass Strafrecht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 Gemäss Aktenlage wurde der Beschwerdeführer am 20. März 2008 frühzeitig aus der Haft entlassen (Akt.-ZH 109). Ab dem 24. Juni 2008 bis zu seiner Auslieferung an Italien - wegen im Jahre 2005 begangener Betäubungsmitteldelikte -, somit bis zum 12. März 2010, ging er einer Erwerbstätigkeit in Y._______ nach (Akt.-ZH 118-120). Nachdem er drei Jahre seiner vierjährigen Freiheitsstrafe in Italien verbüsst hatte, wurde er am 24. Juni 2013 aus dem Strafvollzug entlassen und umgehend aus Italien ausgewiesen (vgl. Akt.-ZH 604 und 606). Demnach befindet sich der Beschwerdeführer seit vier Jahren und elf Monaten in seinem Heimatland. Obwohl er bislang nicht mehr strafrechtlich in Erscheinung getreten ist (vgl. den unbelasteten Strafregisterauszug von Montenegro vom 19. Juni 2015; Akt.-ZH 461-462), kann aufgrund der Schwere der begangenen Delikte, sowie der Tatsache, dass er auch im Ausland zu einer vierjährigen Freiheitsstrafe sowie einer Busse von EUR 20'000.- verurteilt worden ist, eine schwere Gefährdung der öffentlichen Sicherheit und Ordnung nach wie vor nicht ausgeschlossen werden (vgl. zur Hochwertigkeit der involvierten Rechtsgüter und zum strengen Beurteilungsmassstab bei Drogendelikten BGE 139 I 145 E. 2.5 und BVGer F-7607/2015 vom 25. Juli 2016 E. 6.5). Hinzu kommt, dass es bei der Frage nach der aktuellen Gefährdung wesentlich auf das Rückfallrisiko ankommt. Daran ändert auch die Tatsache nichts, dass die das Einreiseverbot auslösenden Straftaten in den Jahren 2004 bis 2005 begangen worden sind. Die Wahrscheinlichkeit der Realisierung weiterer Straftaten ist weiterhin als gross zu erachten. In Anbetracht dessen scheint eine Bewährungsfrist von knapp fünf Jahren seit der Entlassung aus dem Strafvollzug aus ausländerrechtlicher Perspektive als zu kurz, als dass die schwere Gefährdung der öffentlichen Sicherheit und Ordnung zum heutigen Zeitpunkt verneint werden könnte. Folglich ist gegenüber dem Beschwerdeführer gestützt auf Art. 67 Abs. 3 zweiter Satz AuG nach wie vor ein über fünf Jahre dauerndes Einreiseverbot angezeigt (vgl. BVGE 2013/4 E. 5.2; BGE 139 I 131 E. 2.3.2). Die Vorinstanz ist deshalb zu Recht davon ausgegangen, vorliegend rechtfertige sich eine lang andauernde Fernhaltemassnahme.</w:t>
      </w:r>
    </w:p>
    <w:p>
      <w:r>
        <w:rPr>
          <w:b/>
        </w:rPr>
        <w:t>E. 7.1</w:t>
      </w:r>
    </w:p>
    <w:p>
      <w:r>
        <w:t>Es bleibt folglich zu prüfen, ob das bis zum 28. Juni 2020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(Art. 96 AuG; ferner: Häfelin/Müller/Uhlmann, Allgemeines Verwaltungsrecht, 7. Aufl. 2016, RZ. 555 ff.).</w:t>
      </w:r>
    </w:p>
    <w:p>
      <w:r>
        <w:rPr>
          <w:b/>
        </w:rPr>
        <w:t>E. 7.2</w:t>
      </w:r>
    </w:p>
    <w:p>
      <w:r>
        <w:t>Das Einreiseverbot soll in seiner spezialpräventiven Wirkung weitere Straftaten des Beschwerdeführers in der Schweiz - und im Schengen-Raum - verhindern und ihn dazu anhalten, bei einer allfälligen künftigen Wiedereinreise zu Besuchszwecken keine weiteren Verstösse gegen die öffentliche Sicherheit und Ordnung zu begehen. In generalpräventiver 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 Soweit der Beschwerdeführer dieses mit Hinweis auf seine ihm regelmässig gewährten Suspensionsbewilligungen in Frage stellen will, gilt es in diesem Zusammenhang darauf hinzuweisen, dass es sich dabei um streng kontrollierte und zeitlich klar begrenzte Besuchsaufenthalte in der Schweiz handelt.</w:t>
      </w:r>
    </w:p>
    <w:p>
      <w:r>
        <w:rPr>
          <w:b/>
        </w:rPr>
        <w:t>E. 7.3</w:t>
      </w:r>
    </w:p>
    <w:p>
      <w:r>
        <w:t>Den öffentlichen Interessen stellt der Beschwerdeführer sein privates Interesse an persönlichen Kontakten zu seiner in der Schweiz lebenden Ehefrau und den drei gemeinsamen Kindern gegenüber. Zudem habe er eine biografische Kehrtwende vollzogen (berufliche Integration als Kellner im Heimatland sowie eine Zusatzbeschäftigung; drogenfrei; klagloses Verhalten im Heimatland [vgl. Strafregisterauszug des Amtes für Justiz von Montenegro; Akt.-ZH 461-462]), was von der Vorinstanz weder bei der Interessenabwägung noch bei der Verhältnismässigkeitsprüfung berücksichtigt worden sei. Daraus sei jedoch sein anhaltend qualifiziertes familiäres Interesse abzuleiten, welches dem reduzierten Fernhalteinteresse gegenüber stehe. Seine Ehefrau und seine drei Kinder hätten das Bedürfnis ihren Ehemann bzw. Vater wieder möglichst häufig bei sich zu haben.</w:t>
      </w:r>
    </w:p>
    <w:p>
      <w:r>
        <w:rPr>
          <w:b/>
        </w:rPr>
        <w:t>E. 7.4</w:t>
      </w:r>
    </w:p>
    <w:p>
      <w:r>
        <w:t>Das Gesuch der Ehefrau des Beschwerdeführers betreffend Einreisebewilligung zum Verbleib bei der Ehefrau wurde mit Urteil des Verwaltungsgerichts Zürich vom 17. April 2017 abgewiesen (ZH-Akt. 599-611). Die privaten Interessen des Beschwerdeführers werden daher in erster Linie durch sein fehlendes Aufenthaltsrecht beschnitten (vgl. statt vieler Urteil des BGer 2C_898/2014 vom 6. März 2015 E. 4.2.8 m.H.; BVGE 2013/4 E. 7.4.1 m.H.). Es stellt sich somit die Frage, ob die über die Verweigerung des Aufenthaltsrechts hinausgehende, durch das Einreiseverbot zusätzlich bewirkte Erschwernis vor Art. 8 Ziff. 1 EMRK und Art. 13 Abs. 1 BV standhält.</w:t>
      </w:r>
    </w:p>
    <w:p>
      <w:r>
        <w:rPr>
          <w:b/>
        </w:rPr>
        <w:t>E. 7.5</w:t>
      </w:r>
    </w:p>
    <w:p>
      <w:r>
        <w:t>Der Beschwerdeführer hat das bestehende Einreiseverbot durch seine mehrfachen, teils schweren Straftaten über einen längeren Zeitraum hinweg bewusst und selbstverschuldet in Kauf genommen. Er musste davon ausgehen, dass sein Verhalten weitreichende und langfristige Konsequenzen für sich und seine Familien haben wird. Die mit dem Einreiseverbot einhergehende Einschränkung seiner persönlichen Interessen hat der Beschwerdeführer hinzunehmen, zumal diese aufgrund der von ihm ausgehenden schwerwiegenden Gefahr für die öffentliche Sicherheit und Ordnung erforderlich ist (vgl. Art. 8 Ziff. 2 EMRK). Das bestehende Einreiseverbot untersagt dem Beschwerdeführer Besuchsaufenthalte bei seiner Familie in der Schweiz zudem nicht gänzlich, ist es ihm zumutbar - auch weiterhin - mittels Gesuch die zeitweilige Suspension der Fernhaltemassnahme zu beantragen (Art. 67 Abs. 5 AuG; BVGE 2013/4 E. 7.4.3). Es bleibt anzumerken, dass der Beschwerdeführer von dieser Möglichkeit in den letzten Jahren bereits mehrfach Gebrauch gemacht hat und die Bewilligungsdauer gemäss Praxis des SEM gehandhabt wurde (vgl. zur Praxis des SEM den Bericht in Erfüllung des Postulates 12.3002 der SPK-SR vom 22. Mai 2013, Ziff. 2.2.1). Trotzdem verkennt das Bundesverwaltungsgericht nicht, dass durch das vorliegende Einreiseverbots das Familienleben zusätzlich erschwert wird.</w:t>
      </w:r>
    </w:p>
    <w:p>
      <w:r>
        <w:rPr>
          <w:b/>
        </w:rPr>
        <w:t>E. 7.6</w:t>
      </w:r>
    </w:p>
    <w:p>
      <w:r>
        <w:t>Eine wertende Gewichtung der sich gegenüberstehenden öffentlichen und privaten Interessen führt das Bundesverwaltungsgericht zum Ergebnis, dass das gegen den Beschwerdeführer verhängte Einreiseverbot dem Grundsatz nach zu bestätigen ist. Die von der Vorinstanz wiedererwägungsweise auf zehn Jahre begrenzte Dauer der Massnahme erscheint in Anbetracht der familiären (gefestigten) Beziehungen des Beschwerdeführers als unverhältnismässig. In diesem Zusammenhang kann auch nicht unbeachtet bleiben, dass sich der Beschwerdeführer anscheinend um eine berufliche Integration im Heimatland bemüht hat und die begangenen Straftaten in der Zwischenzeit mehr als zwölf Jahre zurückliegen. Es ist anzunehmen, dass er sich seiner Verantwortung als Familienvater und Ehemann bewusst ist. Das Bundesverwaltungsgericht erachtet es somit als angezeigt, das Einreiseverbot auf acht Jahre zu befristen. Damit wird den auf dem Spiel stehenden öffentlichen und privaten Interessen hinreichend Rechnung getragen.</w:t>
      </w:r>
    </w:p>
    <w:p>
      <w:r>
        <w:rPr>
          <w:b/>
        </w:rPr>
        <w:t>E. 8</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II) zur Einreiseverweigerung ausgeschrieben (vgl. Art 21 und 24 der Verordnung [EG] Nr. 1987/2006 vom 20. Dezember 2006 über die Einrichtung, den Betrieb und die Nutzung des Schengener Informationssystems der zweiten Generation, Abl. L 381/4 vom 28. Dezember 2006; Art. 21 N-SIS-Verordnung vom 8. März 2013 [SR 362.0]). Die bereits mit Verfügung vom 29. Juni 2010 bewirkte Ausschreibung des Beschwerdeführers im SIS II, welche unverändert für die Dauer des nunmehr auf zehn Jahre befristeten Einreiseverbots weiterhin gilt, ist deshalb gemäss obiger Ausführungen ebenfalls auf acht Jahre zu befristen.</w:t>
      </w:r>
    </w:p>
    <w:p>
      <w:r>
        <w:rPr>
          <w:b/>
        </w:rPr>
        <w:t>E. 9</w:t>
      </w:r>
    </w:p>
    <w:p>
      <w:r>
        <w:t>Aus diesen Erwägungen ergibt sich, dass die angefochtene Verfügung Bundesrecht verletzt (Art. 49 VwVG). Die Beschwerde ist daher teilweise gutzuheissen und das Einreiseverbot bis zum 28. Juni 2018 zu befristen.</w:t>
      </w:r>
    </w:p>
    <w:p>
      <w:r>
        <w:rPr>
          <w:b/>
        </w:rPr>
        <w:t>E. 10.1</w:t>
      </w:r>
    </w:p>
    <w:p>
      <w:r>
        <w:t>Entsprechend dem Ausgang des Verfahrens sind die reduzierten Verfahrenskosten von Fr. 800.- dem Beschwerdeführer aufzuerlegen und der Restbetrag des geleisteten Kostenvorschusses ist ihm zurückzuerstatten (vgl. Art, 63 Abs. 1 VwVG i.V.m. Art. 1 ff. des Reglements vom 21. Februar 2008 über die Kosten und Entschädigungen vor dem Bundesverwaltungsgericht [VGKE; SR 173.320.2]).</w:t>
      </w:r>
    </w:p>
    <w:p>
      <w:r>
        <w:rPr>
          <w:b/>
        </w:rPr>
        <w:t>E. 10.2</w:t>
      </w:r>
    </w:p>
    <w:p>
      <w:r>
        <w:t>Im Umfang seines Obsiegens ist dem Beschwerdeführer eine gekürzte Parteientschädigung zulasten der Vorinstanz zuzusprechen (Art. 64 Abs. 1 VwVG i.V.m. Art. 7 ff VGKE). Der Rechtsvertreter stellte in seiner am 22. August 2017 eingereichten Honorarnote eine Entschädigung von Fr. 2'691.60 (ohne Mehrwertsteuer) in Rechnung (Honorar 5 Std. 30 Min. à Fr. 300.-; Barauslagen von Fr. 41.60; weitere Auslagen [Kostenvorschuss] von Fr. 1'000.-). In Würdigung aller Bemessungsfaktoren sowie im Umfang seines Obsiegens ist die Parteientschädigung deshalb auf Fr. 1'116.45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