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F-3720/2018 vom 4. Juli 2018</w:t>
      </w:r>
    </w:p>
    <w:p>
      <w:r>
        <w:t>Bundesverwaltungsgericht, 2018-07-04, FR</w:t>
      </w:r>
    </w:p>
    <w:p>
      <w:r>
        <w:rPr>
          <w:b/>
        </w:rPr>
        <w:t xml:space="preserve">Quelle: </w:t>
      </w:r>
      <w:r>
        <w:t>https://mcp.opencaselaw.ch/entscheid/bvger_F-3720_2018</w:t>
      </w:r>
    </w:p>
    <w:p>
      <w:r>
        <w:t>FR: TAF F-3720/2018 du 4 juillet 2018</w:t>
      </w:r>
    </w:p>
    <w:p>
      <w:r>
        <w:t>IT: TAF F-3720/2018 del 4 luglio 2018</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Le recourant a qualité pour recourir (art. 48 al. 1 PA, applicable par renvoi de l'art. 37 LTAF). Présenté dans la forme (art. 52 al. 1 PA) et le délai (art. 108 al. 2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LAsi).</w:t>
      </w:r>
    </w:p>
    <w:p>
      <w:r>
        <w:rPr>
          <w:b/>
        </w:rPr>
        <w:t>E. 1.4</w:t>
      </w:r>
    </w:p>
    <w:p>
      <w:r>
        <w:t>Saisi d'un recours contre une décision de non-entrée en matière sur une demande d'asile, le Tribunal se limite à examiner le bien-fondé d'une telle décision (cf. ATAF 2012/4 consid. 2.2).</w:t>
      </w:r>
    </w:p>
    <w:p>
      <w:r>
        <w:rPr>
          <w:b/>
        </w:rPr>
        <w:t>E. 2.1</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apatride [refonte], JO L 180/31 du 29.6.2013),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w:t>
      </w:r>
    </w:p>
    <w:p>
      <w:r>
        <w:rPr>
          <w:b/>
        </w:rPr>
        <w:t>E. 2.2</w:t>
      </w:r>
    </w:p>
    <w:p>
      <w:r>
        <w:t>Dans une procédure de reprise en charge (anglais : take back), il n'y a en principe aucun nouvel examen de la compétence selon le chapitre III (ATAF 2012/4 consid. 3.2.1 et réf. cit.), contrairement à ce que semble croire le recourant lorsqu'il invoque une violation de l'art. 10 du règlement Dublin III.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(art. 18 par. 1 let. b du règlement Dublin III).</w:t>
      </w:r>
    </w:p>
    <w:p>
      <w:r>
        <w:rPr>
          <w:b/>
        </w:rPr>
        <w:t>E. 2.3</w:t>
      </w:r>
    </w:p>
    <w:p>
      <w:r>
        <w:t>En l'occurrence, les investigations entreprises par le SEM ont révélé que le recourant a déposé une demande d'asile aux Pays-Bas en avril 2018. Cet office a dès lors soumis aux autorités néerlandaises compétentes, dans le délai fixé à l'art. 23 par. 2 du règlement Dublin III, à savoir le 6 juin 2018, une requête aux fins de reprise en charge de l'intéressé, fondée sur l'art. 18 par. 1 let. b de ce même règlement. Les Pays-Bas ont explicitement accepté la reprise en charge du recourant par pli du 15 juin 2018, soit dans le délai prévu par l'art. 25 par. 1 du règlement Dublin III. Par conséquent, les Pays-Bas ont reconnu leur compétence pour traiter la demande d'asile de l'intéressé ; ce dernier n'a d'ailleurs pas contesté la compétence de ce pays.</w:t>
      </w:r>
    </w:p>
    <w:p>
      <w:r>
        <w:rPr>
          <w:b/>
        </w:rPr>
        <w:t>E. 3</w:t>
      </w:r>
    </w:p>
    <w:p>
      <w:r>
        <w:t>Le recourant s'oppose à son transfert vers les Pays-Bas. Il se prévaut de son mariage religieux avec une requérante d'asile résidant en Suisse et fait notamment valoir une violation de l'art. 8 CEDH.</w:t>
      </w:r>
    </w:p>
    <w:p>
      <w:r>
        <w:rPr>
          <w:b/>
        </w:rPr>
        <w:t>E. 3.1</w:t>
      </w:r>
    </w:p>
    <w:p>
      <w:r>
        <w:t>Selon le Tribunal fédéral, pour pouvoir invoquer le droit au respect de la vie familiale consacré à l'art. 8 CEDH, l'étranger doit en principe justifier d'une relation étroite et effective avec une personne de sa famille, laquelle doit bénéficier en Suisse d'un droit de présence assuré (cf. ATAF 2012/4 consid. 4.3 et les arrêts du TF cités). D'après une jurisprudence constante, les relations visées par l'art. 8 CEDH sont avant tout celles qui concernent la famille dite nucléaire, soit celles qui existent entre époux ainsi qu'entre parents et enfants mineurs vivant en ménage commun (cf. ATF 135 I 143 consid. 1.3.2). Sous réserve de circonstances particulières, les concubins ne sont donc pas habilités à invoquer l'art. 8 CEDH. Ainsi, le Tribunal fédéral a précisé que la relation de concubinage stable doit être comprise comme une communauté de vie d'une certaine durée - voire durable - entre deux personnes, à caractère en principe exclusif, laquelle présente une composante tant spirituelle, corporelle qu'économique. Or, dans plusieurs domaines du droit, la portée du concubinage a été appréhendée en fonction de sa durée. Ainsi, en droit des étrangers, une durée de vie commune de moins de quatre ans est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et réf. citée).</w:t>
      </w:r>
    </w:p>
    <w:p>
      <w:r>
        <w:rPr>
          <w:b/>
        </w:rPr>
        <w:t>E. 3.2</w:t>
      </w:r>
    </w:p>
    <w:p>
      <w:r>
        <w:t>En l'espèce, pour autant que l'art. 8 CEDH soit applicable, vu l'absence d'un droit de présence assuré en Suisse de la fiancée, le recourant ne saurait titrer aucun avantage de cette disposition pour la présente cause. En effet, seul un mariage valablement conclu à l'étranger peut être reconnu en Suisse (art. 45 al. 1 de la loi fédérale du 18 décembre 1987 sur le droit international privé [LDIP, RS 291]). Or, le recourant n'a versé en cause qu'une copie d'une pièce (en arabe avec sa traduction en anglais) attestant qu'un imam de la communauté soudanaise à Athènes aurait célébré le mariage du couple, en application des règles de la charia ; aucun document n'atteste de l'autorisation de l'imam à célébrer des mariages, d'un enregistrement de ce mariage auprès des autorités grecques ou de la validité d'un tel mariage au regard de la loi grecque n'a été transmis aux autorités suisses. L'intéressé a au contraire indiqué devant le SEM ne pas avoir fait inscrire le mariage religieux en Grèce, à défaut d'y avoir déposé une demande d'asile ; il y aurait toutefois déposé une demande de regroupement familial (pce N A9/15 p. 8). Quant à un éventuel mariage selon la tradition kurde, célébré en Syrie en mars 2016, aucun document ne vient étayer les dires du recourant, lesquels sont en outre discrédités par le fait qu'il n'a évoqué ce premier mariage qu'en procédure de recours. Force est ainsi de constater que le recourant n'a pas prouvé avoir valablement conclu un mariage à l'étranger, de sorte que sa fiancée ne saurait, dans la présente procédure, être considérée comme son épouse. En outre, la relation du couple ne saurait être assimilée à celle d'une union conjugale. En effet, le recourant et sa fiancée n'ont pas d'enfants communs (cette dernière aurait fait une fausse couche), n'ont pas entamé une procédure de reconnaissance d'un mariage religieux ou d'un mariage civil et n'ont vécu ensemble qu'un peu plus d'un mois. Les déclarations de l'intéressé quant à une éventuelle cohabitation antérieure au séjour commun du couple en Grèce sont contradictoires. Celui-ci a en effet affirmé devant le SEM ne pas avoir cohabité avec sa fiancée sous le même toit auparavant et a précisé que cette dernière s'était trompée en indiquant aux autorités qu'ils s'étaient mariés en Syrie (pce N A9/15, p. 4 et 5). Dans ces circonstances, les allégations faites en procédure de recours, selon lesquelles il se serait effectivement marié en Syrie en mars 2016 et aurait cohabité plus d'une année avec sa fiancée en ce pays, sans pièces à l'appui, semblent avoir été primairement faites pour les besoins de la cause. Par ailleurs, le recourant n'explique ni pour quelles raisons sa fiancée aurait quitté la Grèce avant lui ni pourquoi il ne l'aurait suivie que plusieurs mois plus tard. Bien au contraire, il ressort de son audition devant le SEM que, s'il aurait certes quitté les Pays-Bas en raison de son épouse, il aurait primairement quitté la Grèce au vu du manque de travail et des difficultés linguistiques qu'il y aurait rencontrées (pce N A9/15 p. 11 et 12).</w:t>
      </w:r>
    </w:p>
    <w:p>
      <w:r>
        <w:rPr>
          <w:b/>
        </w:rPr>
        <w:t>E. 3.3</w:t>
      </w:r>
    </w:p>
    <w:p>
      <w:r>
        <w:t>Dans ces conditions, c'est à juste titre que le SEM n'a pas considéré la relation du recourant avec sa fiancée comme une relation étroite et effective protégée par l'art. 8 CEDH et justifiant la présence du recourant en Suisse pendant la durée de la procédure d'asile (cf., pour comparaison, arrêt du TAF D-2365/2017 du 4 mai 2017, consid. 5.2 et 5.3). Le fait que la fiancée estime également être mariée au recourant et souhaite vivre en ménage commun avec lui (pce TAF 4) n'y change rien.</w:t>
      </w:r>
    </w:p>
    <w:p>
      <w:r>
        <w:rPr>
          <w:b/>
        </w:rPr>
        <w:t>E. 4</w:t>
      </w:r>
    </w:p>
    <w:p>
      <w:r>
        <w:t>Au demeurant, on ajoutera à toutes fins utiles qu'un transfert du recourant aux Pays-Bas ne l'exposerait pas à un traitement prohibé par l'art. 3 CEDH ; l'intéressé ne prétend d'ailleurs pas le contraire.</w:t>
      </w:r>
    </w:p>
    <w:p>
      <w:r>
        <w:rPr>
          <w:b/>
        </w:rPr>
        <w:t>E. 5</w:t>
      </w:r>
    </w:p>
    <w:p>
      <w:r>
        <w:t>En conséquence, c'est à bon droit que le SEM n'est pas entré en matière sur sa demande d'asile, en application de l'art. 31a al. 1 let. b LAsi, et qu'il a prononcé son transfert de Suisse vers les Pays-Bas, aucune exception à la règle générale du renvoi n'étant réalisée (art. 32 de l'ordonnance 1 du 11 août 1999 sur l'asile relative à la procédure [OA 1, RS 142.311]). Par ailleurs, le SEM a bien pris en compte les faits allégués par l'intéressé,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7s et 119 ss).</w:t>
      </w:r>
    </w:p>
    <w:p>
      <w:r>
        <w:rPr>
          <w:b/>
        </w:rPr>
        <w:t>E. 6</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7</w:t>
      </w:r>
    </w:p>
    <w:p>
      <w:r>
        <w:t>Les conclusions du recours étant d'emblée vouées à l'échec, la demande d'assistance judiciaire (art. 65 al. 1 PA) est rejetée. 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