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F-3712/2026 vom 1. Juni 2026</w:t>
      </w:r>
    </w:p>
    <w:p>
      <w:r>
        <w:t>Bundesverwaltungsgericht, 2026-06-01, DE</w:t>
      </w:r>
    </w:p>
    <w:p>
      <w:r>
        <w:rPr>
          <w:b/>
        </w:rPr>
        <w:t xml:space="preserve">Quelle: </w:t>
      </w:r>
      <w:r>
        <w:t>https://mcp.opencaselaw.ch/entscheid/bvger_F-3712_2026</w:t>
      </w:r>
    </w:p>
    <w:p>
      <w:r>
        <w:t>FR: TAF F-3712/2026 du 1 juin 2026</w:t>
      </w:r>
    </w:p>
    <w:p>
      <w:r>
        <w:t>IT: TAF F-3712/2026 del 1 giugno 2026</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zur Beschwerdeführung legitimiert (Art. 48 Abs. 1 VwVG). Auf die frist- und formgerecht eingereichte Beschwerde ist einzutreten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2.2</w:t>
      </w:r>
    </w:p>
    <w:p>
      <w:r>
        <w:t>Auf die Schilderungen des Beschwerdeführers zur Situation in seinem Heimatland ist vorliegend daher nicht näher einzugehen.</w:t>
      </w:r>
    </w:p>
    <w:p>
      <w:r>
        <w:rPr>
          <w:b/>
        </w:rPr>
        <w:t>E. 3</w:t>
      </w:r>
    </w:p>
    <w:p>
      <w:r>
        <w:t>Die Vorinstanz hielt in der angefochtenen Verfügung zutreffend fest, dass gemäss Art. 18 Abs. 1 Bst. d Dublin-III-VO grundsätzlich Deutschland für das Asyl- und Wegweisungsverfahren des Beschwerdeführers zuständig ist, dass das dortige Asylsystem rechtsprechungsgemäss keine systemischen Mängel aufweist, aufgrund derer die Zuständigkeit gemäss Art. 3 Abs. 2 Dublin-III-VO auf die Schweiz überginge (statt vieler, jüngste Urteile des BVGer F-3430/2026 vom 19. Mai 2026 E. 2.1, F-3139/2026 vom 7. Mai 2026 E. 2.2), und dass vorliegend keine völkerrechtlichen Vollzugshindernisse ersichtlich sind, welche die Schweiz zu einem Selbsteintritt nach Art. 17 Abs. 1 Dublin-III-VO verpflichten würden. Dabei hat sie zutreffend festgehalten, bei Deutschland handle es sich um einen funktionierenden Rechtsstaat. Ferner hat sie die Angaben und medizinischen Dokumente des Beschwerdeführers, wonach dieser (...) gehabt hat, berücksichtigt und festgehalten, es lägen keine aktuellen medizinischen Akten zu seinem Gesundheitszustand vor. Nachdem er sich während seines Aufenthaltes in der Schweiz nie bei der Pflege gemeldet habe, könne zuverlässig festgestellt werden, dass die hohe Schwelle für eine drohende Verletzung von Art. 3 EMRK nicht überschritten werde.</w:t>
      </w:r>
    </w:p>
    <w:p>
      <w:r>
        <w:rPr>
          <w:b/>
        </w:rPr>
        <w:t>E. 4.1</w:t>
      </w:r>
    </w:p>
    <w:p>
      <w:r>
        <w:t>Der Beschwerdeführer macht in der Rechtsmitteleingabe geltend, sein Gesundheitszustand sei sehr schlecht und er verfüge über umfangreiche medizinische Unterlagen, welche dies bestätigten. Dem ist entgegenzuhalten, dass er auch auf Beschwerdeebene nur die bereits aktenkundigen medizinischen Berichte und keine aktuellen Unterlagen zu den Akten reichte. Es ist demnach nicht davon auszugehen, dass sich sein Gesundheitszustand in der Zwischenzeit in massgeblicher Weise verschlechtert hat. Sollte er auf eine Behandlung oder Kontrolle angewiesen sein, wird ihm eine solche in Deutschland ermöglicht werden, denn es liegen keinerlei Hinweise dafür vor, dass er in Deutschland keinen Zugang zu der ihm zustehenden notwendigen medizinischen Behandlung erhielte (vgl. Art. 14 der Richtlinie 2008/115/EG vom 16. Dezember 2008 des Europäischen Parlaments und des Rates über gemeinsame Normen und Verfahren in den Mitgliedstaaten zur Rückführung illegal aufhältiger Drittstaatsangehöriger).</w:t>
      </w:r>
    </w:p>
    <w:p>
      <w:r>
        <w:rPr>
          <w:b/>
        </w:rPr>
        <w:t>E. 4.2</w:t>
      </w:r>
    </w:p>
    <w:p>
      <w:r>
        <w:t>Weiter befürchtet er, von Deutschland nach Syrien zurückgeschickt zu werden. Dazu ist festzuhalten, dass keine begründeten Hinweise bestehen, wonach Deutschland das Asylverfahren des Beschwerdeführers nicht korrekt durchgeführt hätte oder das Non-Refoulement-Gebot missachten würde.</w:t>
      </w:r>
    </w:p>
    <w:p>
      <w:r>
        <w:rPr>
          <w:b/>
        </w:rPr>
        <w:t>E. 5</w:t>
      </w:r>
    </w:p>
    <w:p>
      <w:r>
        <w:t>Die Vorinstanz ist zu Recht auf das Asylgesuch des Beschwerdeführers nicht eingetreten und hat die Wegweisung aus der Schweiz verfügt. Die angefochtene Verfügung ist nicht zu beanstanden und die Beschwerde abzuweisen.</w:t>
      </w:r>
    </w:p>
    <w:p>
      <w:r>
        <w:rPr>
          <w:b/>
        </w:rPr>
        <w:t>E. 6</w:t>
      </w:r>
    </w:p>
    <w:p>
      <w:r>
        <w:t>Mit vorliegendem Urteil fällt der am 27. Mai 2026 angeordnete Vollzugsstopp dahin.</w:t>
      </w:r>
    </w:p>
    <w:p>
      <w:r>
        <w:rPr>
          <w:b/>
        </w:rPr>
        <w:t>E. 7</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