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F-3706/2023 vom 12. Juli 2023</w:t>
      </w:r>
    </w:p>
    <w:p>
      <w:r>
        <w:t>Bundesverwaltungsgericht, 2023-07-12, DE</w:t>
      </w:r>
    </w:p>
    <w:p>
      <w:r>
        <w:rPr>
          <w:b/>
        </w:rPr>
        <w:t xml:space="preserve">Quelle: </w:t>
      </w:r>
      <w:r>
        <w:t>https://mcp.opencaselaw.ch/entscheid/bvger_F-3706_2023</w:t>
      </w:r>
    </w:p>
    <w:p>
      <w:r>
        <w:t>FR: TAF F-3706/2023 du 12 juillet 2023</w:t>
      </w:r>
    </w:p>
    <w:p>
      <w:r>
        <w:t>IT: TAF F-3706/2023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rügt in formeller Hinsicht eine Verletzung von Art. 29 Abs. 2 BV, wobei eine Verzögerung durch das SEM vorliegen soll. Inwiefern die Beurteilung durch das SEM nicht innert angemessener Frist ergangen sein soll, ist weder der Beschwerdeschrift zu entnehmen, noch lassen sich Hinweise dazu aus dem Sachverhalt erschliessen. Die formelle Rüge erweist sich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4.3</w:t>
      </w:r>
    </w:p>
    <w:p>
      <w:r>
        <w:t>Nachdem der Beschwerdeführer am 14. Juni 2023 in Österreich ein Asylgesuch eingereicht hatte, handelt es sich um ein «take back»-Verfahren gemäss Art. 18 Abs. 1 Bst. b Dublin-III-VO. Die österreichischen Behörden haben innert der in Art. 25 Abs. 1 Dublin-III-VO festgelegten Frist dem Wiederaufnahmegesuch der Vorinstanz zugestimmt. Somit ist die Zuständigkeit Österreichs grundsätzlich gegeben.</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w:t>
      </w:r>
    </w:p>
    <w:p>
      <w:r>
        <w:t>Nachfolgend ist zu prüfen, ob die Vorinstanz das Selbsteintrittsrecht nach Art. 17 Abs. 1 erster Satz Dublin-III-VO sowie Art. 29a Abs. 3 AsylV 1 zu Recht nicht ausgeübt hat.</w:t>
      </w:r>
    </w:p>
    <w:p>
      <w:r>
        <w:rPr>
          <w:b/>
        </w:rPr>
        <w:t>E. 5.1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w:t>
      </w:r>
    </w:p>
    <w:p>
      <w:r>
        <w:t>Der Beschwerdeführer bringt nichts vor, was auf eine drohende Verletzung der genannten Garantien deuten würde. 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Der Beschwerdeführer macht geltend, er wolle seine Schwester, welche im Kanton Bern lebe, «nicht allein lassen». Aus den Akten ergeben sich jedoch keine Hinweise auf ein besonderes Abhängigkeitsverhältnis im Sinne von Art. 16 Abs. 1 Dublin-III-VO zwischen ihm und seiner Schwester; auch mit der Beschwerde wurde kein entsprechender Nachweis beigebracht. Somit kann die Anwesenheit der Schwester in der Schweiz deren Zuständigkeit nicht begründen.</w:t>
      </w:r>
    </w:p>
    <w:p>
      <w:r>
        <w:rPr>
          <w:b/>
        </w:rPr>
        <w:t>E. 7</w:t>
      </w:r>
    </w:p>
    <w:p>
      <w:r>
        <w:t>Die Vorinstanz ist demnach zu Recht gestützt auf Art. 31a Abs. 1 Bst. b AsylG auf das Asylgesuch des Beschwerdeführers nicht eingetreten und hat die Wegweisung nach Österreich angeordnet.</w:t>
      </w:r>
    </w:p>
    <w:p>
      <w:r>
        <w:rPr>
          <w:b/>
        </w:rPr>
        <w:t>E. 8</w:t>
      </w:r>
    </w:p>
    <w:p>
      <w:r>
        <w:t>Nach dem Gesagten ist die Beschwerde abzuweisen. Mit dem vorliegenden Urteil fällt der am 3. Juli 2023 angeordnete Vollzugsstopp dahin. Das Gesuch um Erteilung der aufschiebenden Wirkung sowie das Gesuch um Verzicht auf die Erhebung eines Kostenvorschusses sind gegenstandslos geworden.</w:t>
      </w:r>
    </w:p>
    <w:p>
      <w:r>
        <w:rPr>
          <w:b/>
        </w:rPr>
        <w:t>E. 9.1</w:t>
      </w:r>
    </w:p>
    <w:p>
      <w:r>
        <w:t>Die Begehren erweisen sich als aussichtslos, weshalb das Gesuch um unentgeltliche Prozessführung (Art. 65 Abs. 1 VwVG)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