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F-3695/2024 vom 28. Juni 2024</w:t>
      </w:r>
    </w:p>
    <w:p>
      <w:r>
        <w:t>Bundesverwaltungsgericht, 2024-06-28, DE</w:t>
      </w:r>
    </w:p>
    <w:p>
      <w:r>
        <w:rPr>
          <w:b/>
        </w:rPr>
        <w:t xml:space="preserve">Quelle: </w:t>
      </w:r>
      <w:r>
        <w:t>https://mcp.opencaselaw.ch/entscheid/bvger_F-3695_2024</w:t>
      </w:r>
    </w:p>
    <w:p>
      <w:r>
        <w:t>FR: TAF F-3695/2024 du 28 juin 2024</w:t>
      </w:r>
    </w:p>
    <w:p>
      <w:r>
        <w:t>IT: TAF F-3695/2024 del 28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Das Bundesverwaltungsgericht hat die Beschwerde unter den Referenznummern F-3695/2024, F-3698/2024 und F-3700/2024 erfasst. Da die Beschwerde durch alle fünf Beschwerdeführenden unterzeichnet wurde sowie aufgrund des persönlichen und sachlichen Zusammenhangs rechtfertigt es sich, die Beschwerdeverfahren zu vereinigen und darüber in einem Urteil zu befinden.</w:t>
      </w:r>
    </w:p>
    <w:p>
      <w:r>
        <w:rPr>
          <w:b/>
        </w:rPr>
        <w:t>E. 1.3</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aufgrund des ausgestellten Schengen-Visums gemäss Art. 12 Abs. 2 Dublin-III-VO grundsätzlich Belgien für die Durchführung des Asyl- und Wegweisungsverfahrens der Beschwerdeführenden zuständig ist, dass das belgische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der Beschwerdeführenden im Hinblick auf deren dokumentierten Gesundheitszustand sowie die unsubstantiiert geltend gemachte Bedrohungssituation in Belgien durch sri-lankische Politiker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hat dabei insbesondere berücksichtigt, dass den Beschwerdeführenden in Belgien nach Einreichung von Asylgesuchen der Zugang zur allenfalls benötigten medizinischen Behandlung - insbesondere zur Behandlung des Bluthochdrucks und Diabetes der Beschwerdeführerin 2 und ihrer psychischen Beschwerden sowie denjenigen des Beschwerdeführers 3 - offensteht. Die genannten gesundheitlichen Probleme hat sie denn auch in den Überstellungsmodalitäten vom 6. Juni 2024 aufgeführt. Die Vorinstanz ist demnach zu Recht in Anwendung von Art. 31a Abs. 1 Bst. b AsylG auf die Asylgesuche der Beschwerdeführenden nicht eingetreten und hat in Anwendung von Art. 44 AsylG deren Wegweisung nach Belgien angeordnet. Zur näheren Begründung wird auf die korrekten vorinstanzlichen Erwägungen verwiesen.</w:t>
      </w:r>
    </w:p>
    <w:p>
      <w:r>
        <w:rPr>
          <w:b/>
        </w:rPr>
        <w:t>E. 2.2</w:t>
      </w:r>
    </w:p>
    <w:p>
      <w:r>
        <w:t>Dass die Beschwerdeführenden auf Rechtsmittelebene vorbringen, noch nie in Belgien gewesen zu sein und in der Schweiz die beste Sicherheit zu haben, vermag an der Richtigkeit der vorinstanzlichen Verfügungen nichts zu ändern, zumal es Asylsuchenden nicht freisteht, den für die Prüfung ihres Asylgesuchs zuständigen Staat selbst zu wählen.</w:t>
      </w:r>
    </w:p>
    <w:p>
      <w:r>
        <w:rPr>
          <w:b/>
        </w:rPr>
        <w:t>E. 2.3</w:t>
      </w:r>
    </w:p>
    <w:p>
      <w:r>
        <w:t>Demnach erscheint es auch nicht angezeigt, die Vorinstanz dazu zu verpflichten, von den belgischen Behörden vor einer Überstellung individuelle Zusicherungen im Sinne der Beschwerdeanträge einzuholen.</w:t>
      </w:r>
    </w:p>
    <w:p>
      <w:r>
        <w:rPr>
          <w:b/>
        </w:rPr>
        <w:t>E. 3</w:t>
      </w:r>
    </w:p>
    <w:p>
      <w:r>
        <w:t>Nach dem Gesagten sind die angefochtenen Verfügungen vom 5. Juni 2024 nicht zu beanstanden und die Beschwerde ist abzuweisen.</w:t>
      </w:r>
    </w:p>
    <w:p>
      <w:r>
        <w:rPr>
          <w:b/>
        </w:rPr>
        <w:t>E. 4</w:t>
      </w:r>
    </w:p>
    <w:p>
      <w:r>
        <w:t>Mit vorliegendem Urteil wird der Antrag auf Gewährung der aufschiebenden Wirkung gegenstandslos und fällt der am 12. Juni 2024 angeordnete Vollzugsstopp dahin.</w:t>
      </w:r>
    </w:p>
    <w:p>
      <w:r>
        <w:rPr>
          <w:b/>
        </w:rPr>
        <w:t>E. 5</w:t>
      </w:r>
    </w:p>
    <w:p>
      <w:r>
        <w:t>Das Gesuch um Gewährung der unentgeltlichen Prozessführung und Einsetzung eines amtlichen Rechtsbeistands ist abzuweisen, da die Begehren - wie sich aus den vorstehenden Erwägungen ergibt - als aussichtslos zu bezeichnen sind und dies auch im Gesuchszeitpunkt waren. 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