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F-3689/2022 vom 17. August 2023</w:t>
      </w:r>
    </w:p>
    <w:p>
      <w:r>
        <w:t>Bundesverwaltungsgericht, 2023-08-17, DE</w:t>
      </w:r>
    </w:p>
    <w:p>
      <w:r>
        <w:rPr>
          <w:b/>
        </w:rPr>
        <w:t xml:space="preserve">Quelle: </w:t>
      </w:r>
      <w:r>
        <w:t>https://mcp.opencaselaw.ch/entscheid/bvger_F-3689_2022</w:t>
      </w:r>
    </w:p>
    <w:p>
      <w:r>
        <w:t>FR: TAF F-3689/2022 du 17 août 2023</w:t>
      </w:r>
    </w:p>
    <w:p>
      <w:r>
        <w:t>IT: TAF F-3689/2022 del 17 agosto 2023</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112 Abs. 1 AIG [SR 142.20] i.V.m. Art. 31 ff. VGG und Art. 5 VwVG).</w:t>
      </w:r>
    </w:p>
    <w:p>
      <w:r>
        <w:rPr>
          <w:b/>
        </w:rPr>
        <w:t>E. 1.2</w:t>
      </w:r>
    </w:p>
    <w:p>
      <w:r>
        <w:t>Das Rechtsmittelverfahren richtet sich nach dem VwVG, soweit das VGG nichts anderes bestimmt (Art. 37 VGG).</w:t>
      </w:r>
    </w:p>
    <w:p>
      <w:r>
        <w:rPr>
          <w:b/>
        </w:rPr>
        <w:t>E. 1.3</w:t>
      </w:r>
    </w:p>
    <w:p>
      <w:r>
        <w:t>Der Beschwerdeführer hat am vorangegangenen Einspracheverfahren teilgenommen und ist als Gastgeber und naher Verwandter des Gesuchstellers durch den angefochtenen Entscheid besonders berührt. Er ist zur Erhebung des Rechtsmittels legitimiert, zumal der Gesuchsteller nach wie vor einen Aufenthalt in der Schweiz anstrebt (Art. 48 Abs. 1 VwVG). Auf die frist- und formgerecht eingereichte Beschwerde ist einzutreten (Art. 50 Abs. 1 und Art. 52 Abs. 1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w:t>
      </w:r>
    </w:p>
    <w:p>
      <w:r>
        <w:t>Dem angefochtenen Entscheid liegt das Gesuch eines indischen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Anwendungsbereich der Schengen-Assoziierungsabkommen, mit denen die Schweiz den Schengen-Besitzstand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aber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Gewähr für die gesicherte Wiederausreise geboten wird (vgl. Art. 14 Abs. 1 Bst. d VK; Art. 21 Abs. 1 VK; BVGE 2014/1 E. 4.4).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w:t>
      </w:r>
    </w:p>
    <w:p>
      <w:r>
        <w:rPr>
          <w:b/>
        </w:rPr>
        <w:t>E. 5</w:t>
      </w:r>
    </w:p>
    <w:p>
      <w:r>
        <w:t>Strittig und zu prüfen ist vorliegend, inwieweit der Gesuchsteller Gewähr für eine fristgerechte Wiederausreise aus dem Schengen-Raum bietet. Ausser Frage steht dabei die gegebene Visumpflicht des indischen Gesuchstellers.</w:t>
      </w:r>
    </w:p>
    <w:p>
      <w:r>
        <w:rPr>
          <w:b/>
        </w:rPr>
        <w:t>E. 5.1.1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5.1.2</w:t>
      </w:r>
    </w:p>
    <w:p>
      <w:r>
        <w:t>Der Gesuchsteller lebt in der Region Punjab, welche im Nord-Westen Indiens an Pakistan grenzt. Die politischen und ethnisch-religiösen Spannungen im Grenzgebiet zu Pakistan sind hoch. Ausserdem ist das Leben in Indien nach wie vor geprägt von krasser Armut und extremer Ungleichheit der Chancen. Auf dem aktuellen Index der menschlichen Entwicklung der Vereinten Nationen belegt Indien denn auch lediglich Platz 132 von 191 gelisteten Staaten (vgl. dazu ausführlich Urteile des BVGer F-4547/2022 vom 26. Juni 2023 E. 6; F-5322/2022 vom 9. Juni 2023 E. 6.2; je m.w.H.). Vor diesem Hintergrund ist nicht zu beanstanden, wenn die Vorinstanz das Risiko einer nicht fristgerechten Wiederausreise als allgemein hoch einschätzt.</w:t>
      </w:r>
    </w:p>
    <w:p>
      <w:r>
        <w:rPr>
          <w:b/>
        </w:rPr>
        <w:t>E. 5.2</w:t>
      </w:r>
    </w:p>
    <w:p>
      <w:r>
        <w:t>Nebst den allgemeinen Verhältnissen im Herkunftsland sind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2014/1 E. 6.3.1; 2009/27 E. 8).</w:t>
      </w:r>
    </w:p>
    <w:p>
      <w:r>
        <w:rPr>
          <w:b/>
        </w:rPr>
        <w:t>E. 5.2.1</w:t>
      </w:r>
    </w:p>
    <w:p>
      <w:r>
        <w:t>Seinen eigenen Angaben zufolge arbeitet der 28-jährige, ledige und kinderlose Gesuchsteller in Indien als Kurier beziehungsweise Lieferbote sowie als Computer-Operator. Die Erwerbstätigkeit bildet mit Blick auf den für Schweizer Verhältnisse relativ tiefen Jahreslohn indes keine hinreichende Gewähr für eine anstandslose Wiederausreise (vgl. hierzu die [Einkommens-] Steuerunterlagen des Gesuchstellers für die Jahre 2020-2021 und 2019-2020). Keine Aussagekraft kommt hinsichtlich der Wiederausreiseabsicht sodann dem Visum der Vereinigten Arabischen Emirate für den Gesuchsteller zu, da die Visumerteilung im Januar 2018 erfolgte und somit bereits fünfeinhalb Jahre zurückliegt. Gleich verhält es sich mit allfälligem Grundeigentum und Vermögenswerten im Heimatland, die bei einer Auswanderung nicht zwingend verloren gehen (vgl. BVGE 2014/1 E. 6.3.6 m.H.).</w:t>
      </w:r>
    </w:p>
    <w:p>
      <w:r>
        <w:rPr>
          <w:b/>
        </w:rPr>
        <w:t>E. 5.2.2</w:t>
      </w:r>
    </w:p>
    <w:p>
      <w:r>
        <w:t>Im Weiteren lassen insbesondere das soziale Beziehungsnetz des Gesuchstellers in der Schweiz sowie die Tatsache, dass sowohl sein Vater als auch sein Bruder beide in Dubai - also ausserhalb Indiens - erwerbstätig sind, das Emigrationsrisiko als hoch erscheinen. Daran ändert nichts, dass die Mutter des Gesuchstellers für den Fall eines länger andauernden Aufenthalts in der Schweiz oder im Schengen-Raum alleine in Indien verbleiben würde. Die Erfahrung hat oftmals gezeigt, dass zurückbleibende nahe Angehörige gerade in Situationen angespannter wirtschaftlicher und/oder politischer Verhältnisse gesuchstellende Personen regelmässig nicht verlässlich davon abhalten, den Entschluss für eine Emigration zu fällen, sei dies etwa in der Hoffnung, die Zurückgebliebenen aus dem Ausland effizienter zu unterstützen oder später allenfalls gar nachziehen zu können (vgl. statt vieler: Urteil des BVGer F-4416/2022 vom 6. April 2023 E. 5.3).</w:t>
      </w:r>
    </w:p>
    <w:p>
      <w:r>
        <w:rPr>
          <w:b/>
        </w:rPr>
        <w:t>E. 5.3</w:t>
      </w:r>
    </w:p>
    <w:p>
      <w:r>
        <w:t>Somit können dem Gesuchsteller keine familiären und beruflichen Verpflichtungen oder Abhängigkeiten attestiert werden, die hinreichende Gewähr für eine fristgerechte Wiederausreise bieten könnten. Das Risiko, dass der Gesuchsteller - einmal in die Schweiz eingereist - vom zuvor deklarierten Aufenthaltszweck abweichen und versuchen könnte, diesen auf eine neue Basis zu stellen, ist als hoch einzuschätzen. Die Zusicherung einer fristgerechten Ausreise durch den Beschwerdeführer ändert daran nichts.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5.4</w:t>
      </w:r>
    </w:p>
    <w:p>
      <w:r>
        <w:t>Zu Recht ging die Vorinstanz daher davon aus, die Wiederausreise des Gesuchstellers sei nicht gesichert. Die Voraussetzungen für die Erteilung eines Besuchervisums im Sinne von Art. 6 SGK beziehungsweise Art. 5 AIG sind demnach nicht erfüllt. Gründe für die Ausstellung eines Visums mit räumlich beschränkter Gültigkeit (vgl. Art. 5 Abs. 3 AIG; 3 Abs. 4 VEV, Art. 25 Abs. 1 Bst. a VK sowie Art. 6 Abs. 5 Bst. c SGK) wurden weder geltend gemacht noch ergeben sich solche aus den Akten. Somit ist nicht zu beanstanden, dass die Vorinstanz die Ausstellung eines Visums verweigert hat.</w:t>
      </w:r>
    </w:p>
    <w:p>
      <w:r>
        <w:rPr>
          <w:b/>
        </w:rPr>
        <w:t>E. 6</w:t>
      </w:r>
    </w:p>
    <w:p>
      <w:r>
        <w:t>Die angefochtene Verfügung verletzt kein Bundesrecht (Art. 49 VwVG). Die Beschwerde ist abzuweisen.</w:t>
      </w:r>
    </w:p>
    <w:p>
      <w:r>
        <w:rPr>
          <w:b/>
        </w:rPr>
        <w:t>E. 7</w:t>
      </w:r>
    </w:p>
    <w:p>
      <w:r>
        <w:t>Entsprechend dem Verfahrensausgang sind die Kosten dem unterliegenden Beschwerdeführer aufzuerlegen (vgl. Art. 63 Abs. 1 VwVG i.V.m. Art. 1 ff. des Reglements vom 21. Februar 2008 über die Kosten und Entschädigungen vor dem Bundesverwaltungsgericht [VGKE, SR 173.320.2]).</w:t>
      </w:r>
    </w:p>
    <w:p>
      <w:r>
        <w:rPr>
          <w:b/>
        </w:rPr>
        <w:t>E. 8</w:t>
      </w:r>
    </w:p>
    <w:p>
      <w:r>
        <w:t>Das Bundesverwaltungsgericht entscheidet in der vorliegenden Angelegenheit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