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F-3685/2022 vom 26. Juli 2022</w:t>
      </w:r>
    </w:p>
    <w:p>
      <w:r>
        <w:t>Bundesverwaltungsgericht, 2022-07-26, DE</w:t>
      </w:r>
    </w:p>
    <w:p>
      <w:r>
        <w:rPr>
          <w:b/>
        </w:rPr>
        <w:t xml:space="preserve">Quelle: </w:t>
      </w:r>
      <w:r>
        <w:t>https://mcp.opencaselaw.ch/entscheid/bvger_F-3685_2022_d20220726</w:t>
      </w:r>
    </w:p>
    <w:p>
      <w:r>
        <w:t>FR: TAF F-3685/2022 du 26 juillet 2022</w:t>
      </w:r>
    </w:p>
    <w:p>
      <w:r>
        <w:t>IT: TAF F-3685/2022 del 26 luglio 2022</w:t>
      </w:r>
    </w:p>
    <w:p>
      <w:pPr>
        <w:pStyle w:val="Heading2"/>
      </w:pPr>
      <w:r>
        <w:t>Regeste</w:t>
      </w:r>
    </w:p>
    <w:p>
      <w:r>
        <w:t>Schengen-Visum | Schengen-Visum; Verfügung des SEM vom 26. Juli 2022</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Die Beschwerdeführenden haben am vorangegangenen Einsprache- verfahren teilgenommen und sind als Verfügungsadressat sowie Gastge- ber durch den angefochtenen Entscheid besonders berührt. Sie sind zur Erhebung der Beschwerde legitimiert (Art. 48 Abs. 1 VwVG).</w:t>
      </w:r>
    </w:p>
    <w:p>
      <w:r>
        <w:rPr>
          <w:b/>
        </w:rPr>
        <w:t>E. 1.3</w:t>
      </w:r>
    </w:p>
    <w:p>
      <w:r>
        <w:t>Obwohl der ursprünglich anberaumte Besuchszeitraum bereits verstri- chen ist, muss aufgrund des Einreichens einer Beschwerde beim Bundes- verwaltungsgericht auf ein fortbestehendes Rechtsschutzinteresse ge- schlossen werden (Art. 48 Abs. 1 VwVG; vgl. Urteile des Bundesverwal- tungsgerichts F-2086/2020 vom 17 Mai 2021 E. 1.3; F-4669/2017 vom 17 Mai 2019 E. 1.3).</w:t>
      </w:r>
    </w:p>
    <w:p>
      <w:r>
        <w:rPr>
          <w:b/>
        </w:rPr>
        <w:t>E. 1.4</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von zwei syrischen Staatsangehörigen um Erteilung von Visa für einen 85 Tage dauernden</w:t>
      </w:r>
    </w:p>
    <w:p>
      <w:r>
        <w:t>F-3685/2022 Seite 4 Besuchsaufenthalt in der Schweiz zugrunde. Da sich die Gesuchstellenden nicht auf die EU/EFTA-Personenfreizügigkeitsabkommen berufen können und die beabsichtigte Aufenthaltsdauer 90 Tage nicht überschreitet, fällt die Streitsache in den persönlichen und sachlichen Anwendungsbereich der Schengen-Assoziierungsabkommen, mit denen die Schweiz den Schen- gen-Besitzstand und die dazugehörigen gemeinschaftsrechtlichen Rechts- akte übernommen hat (BVGE 2014/1 E. 3). Das AIG (SR 142.20) und seine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F-3685/2022 Seite 5 der Drittländer, deren Staatsangehörige von dieser Visumpflicht befreit sind (ABl. L 303/39 vom 28. November 2018). Als syrische Staatsangehörige unterliegen die Gesuchstellenden unbestrit- tenermassen der Visumspflicht (vgl. Art. 8 Abs. 1 VEV i.V.m. Anhang I Ver- 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Gewähr bieten (Art. 5 Abs. 2 AIG). Wenn sie nicht bereit sind, das Hoheitsgebiet des Schengen-Raums fristgerecht wieder zu ver- 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Visumerteilung erfüllt sind, kommt den Behörden ein weiter Beurteilungsspielraum zu (BVGE 2014/1 E. 4.1.5).</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erstellen ist. Hierzu sind alle Umstände des Einzelfalles zu</w:t>
      </w:r>
    </w:p>
    <w:p>
      <w:r>
        <w:t>F-3685/2022 Seite 6 würdigen. Die Beweisführungslast obliegt den drittstaatsangehörigen Per- sonen (Art. 14 Abs. 1 Bst. d VK; Art. 14 Abs. 3 i.V.m. Anhang II VK; Art. 5 Abs. 1 Bst. c SGK; Art. 5 Abs. 2 AIG; BVGE 2014/1 E. 4.4 und E. 6.1).</w:t>
      </w:r>
    </w:p>
    <w:p>
      <w:r>
        <w:rPr>
          <w:b/>
        </w:rPr>
        <w:t>E. 5.2</w:t>
      </w:r>
    </w:p>
    <w:p>
      <w:r>
        <w:t>Anhaltspunkte für die Gewähr einer fristgerechten Wiederausreise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5.3</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F-1986/2022 vom 10. Januar 2023 E. 6.2 m.H.; F-643/2022 vom 17. März 2022 E. 4.2). Viele sind in die Nachbarstaaten geflohen und versuchen, ihre Flucht ins- besondere nach Europa fortzusetzen (vgl. Asylstatistik 2022 des SEM vom 13. Februar 2023, S. 3 und 14 ff., &lt; stat-jahr-2022-kommentar (1).pdf &gt;, abgerufen am 13.12 2023). Die Einschätzung der allgemeinen Situation in Syrien durch die Vorinstanz ist somit nicht zu beanstanden.</w:t>
      </w:r>
    </w:p>
    <w:p>
      <w:r>
        <w:rPr>
          <w:b/>
        </w:rPr>
        <w:t>E. 5.4</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Angesichts der ange- spannten Sicherheitslage in Syrien und des vorangegangenen Gesuchs der Gesuchstellenden um ein humanitäres Visum (vgl. E. 5), müsste ihren sozio-ökonomischen Verpflichtungen vorliegend aber ein erhebliches Ge- wicht zukommen, damit ihre Rückkehr als wahrscheinlich gelten kann.</w:t>
      </w:r>
    </w:p>
    <w:p>
      <w:r>
        <w:rPr>
          <w:b/>
        </w:rPr>
        <w:t>E. 5.5</w:t>
      </w:r>
    </w:p>
    <w:p>
      <w:r>
        <w:t>Von einer besonders starken sozio-ökonomischen Einbettung der Ge- suchstellenden in Syrien, die sie selbst in einem fortgeschrittenen Alter von einer Emigration abhalten könnte, kann vorliegend jedoch nicht ausgegan- gen werden. Abgesehen von den zwei in der gleichen syrischen Region</w:t>
      </w:r>
    </w:p>
    <w:p>
      <w:r>
        <w:t>F-3685/2022 Seite 7 wohnenden Geschwistern des Gesuchstellers, lebt ein grosser Teil ihrer näheren Verwandtschaft in der Schweiz oder in Deutschland (vgl. BVGer- act. 1; SEM-act., S. 263 ff.). Darauf hinzuweisen ist auch, dass die Gesuch- stellenden ihre in Europa lebenden Verwandten auch ausserhalb des Schengen-Raums treffen können. Zugunsten einer Wiederausreise spricht vorliegend einzig der Besitz der Gesuchstellenden in Syrien, in Form von Grundstücken, einer Wohnung, sowie eines Kleidergeschäfts (vgl. BVGer- act. 8). Dieser Umstand allein kann aber keine hinreichende Gewähr für die fristgerechte Wiederausreise der Gesuchstellenden bieten, zumal ihr dortiger Besitz bei einer Ausreise in die Schweiz an ihre Familienmitglieder weitergegeben oder diesen wenigstens zur Verfügung gestellt werden könnte.</w:t>
      </w:r>
    </w:p>
    <w:p>
      <w:r>
        <w:rPr>
          <w:b/>
        </w:rPr>
        <w:t>E. 5.6</w:t>
      </w:r>
    </w:p>
    <w:p>
      <w:r>
        <w:t>Die Gesuchstellenden haben die Schweiz schliesslich bereits zu frühe- ren Zeitpunkten mehrmals um die Ausstellung von Visa ersucht. So wurden zwei Gesuche um Ausstellung von Schengen-Visa am 30. März 2020 so- wie am 29. Mai 2018 abgelehnt. Aufgrund eines am 6. Oktober 2017 ein- gereichten Gesuchs um ein humanitäres Visum gemäss Art. 4 Abs. 2 der Verordnung vom 15. August 2018 über die Einreise und die Visumerteilung (VEV, SR 142.204), welches mit Abschreibungsentscheid des Bundesver- waltungsgerichts F-3062/2018 vom 16. August 2018 rechtskräftig abgewie- sen wurde (vgl. SEM-act., S. 96), war zudem zum damaligen Zeitpunkt von der Einwanderungsbereitschaft der Gesuchstellenden in die Schweiz aus- zugehen. Demnach sind an der von ihnen behaupteten Absicht, nach ei- nem Aufenthalt in der Schweiz nach Syrien zurückzukehren, auch von die- sem Umstand her Zweifel angebracht, zumal sie nicht begründen, inwie- fern sich ihre Ausgangslage diesbezüglich in den letzten Jahren verändert haben sollte. Das Einreichen eines Gesuchs für einen kurzfristigen Aufent- halt nach Ablehnung eines früheren Gesuchs um einen langfristigen Auf- enthalt stellt ein Indiz für den Versuch der Umgehung der Einreisebestim- mungen dar (vgl. Urteile des Bundesverwaltungsgerichts F-4450/2022 vom 6. April 2023 E. 7.5.2; F-4219/2022 vom 17. März 2023. E. 7.4.2).</w:t>
      </w:r>
    </w:p>
    <w:p>
      <w:r>
        <w:rPr>
          <w:b/>
        </w:rPr>
        <w:t>E. 6</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7</w:t>
      </w:r>
    </w:p>
    <w:p>
      <w:r>
        <w:t>Die angefochtene Verfügung erweist sich unter Berücksichtigung der</w:t>
      </w:r>
    </w:p>
    <w:p>
      <w:r>
        <w:t>F-3685/2022 Seite 8 allgemeinen Situation im Herkunftsland und der persönlichen Hintergründe der Gesuchstellenden im Lichte von Art. 49 VwVG als rechtmässig.</w:t>
      </w:r>
    </w:p>
    <w:p>
      <w:r>
        <w:rPr>
          <w:b/>
        </w:rPr>
        <w:t>E. 8</w:t>
      </w:r>
    </w:p>
    <w:p>
      <w:r>
        <w:t>Bei diesem Ausgang des Verfahrens sind die Kosten den Beschwerdefüh- renden aufzuerlegen und auf CHF 800.– festzusetzen (vgl. Art. 63 Abs. 1 VwVG i.V.m. Art. 1 ff. des Reglements vom 21. Februar 2008 über die Kos- ten und Entschädigungen vor dem Bundesverwaltungsgericht [VGKE, SR 173.320.2]). (Dispositiv nächste Seite)</w:t>
      </w:r>
    </w:p>
    <w:p>
      <w:r>
        <w:t>F-3685/2022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