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F-3685/2022 vom 8. Januar 2024</w:t>
      </w:r>
    </w:p>
    <w:p>
      <w:r>
        <w:t>Bundesverwaltungsgericht, 2024-01-08, DE</w:t>
      </w:r>
    </w:p>
    <w:p>
      <w:r>
        <w:rPr>
          <w:b/>
        </w:rPr>
        <w:t xml:space="preserve">Quelle: </w:t>
      </w:r>
      <w:r>
        <w:t>https://mcp.opencaselaw.ch/entscheid/bvger_F-3685_2022</w:t>
      </w:r>
    </w:p>
    <w:p>
      <w:r>
        <w:t>FR: TAF F-3685/2022 du 8 janvier 2024</w:t>
      </w:r>
    </w:p>
    <w:p>
      <w:r>
        <w:t>IT: TAF F-3685/2022 del 8 gennaio 2024</w:t>
      </w:r>
    </w:p>
    <w:p>
      <w:pPr>
        <w:pStyle w:val="Heading2"/>
      </w:pPr>
      <w:r>
        <w:t>Regeste</w:t>
      </w:r>
    </w:p>
    <w:p>
      <w:r>
        <w:t>Schengen-Visum</w:t>
      </w:r>
    </w:p>
    <w:p>
      <w:pPr>
        <w:pStyle w:val="Heading2"/>
      </w:pPr>
      <w:r>
        <w:t>Erwägungen</w:t>
      </w:r>
    </w:p>
    <w:p>
      <w:r>
        <w:rPr>
          <w:b/>
        </w:rPr>
        <w:t>E. 1.1</w:t>
      </w:r>
    </w:p>
    <w:p>
      <w:r>
        <w:t>Von der Vorinstanz erlassene Einspracheentscheide betreffend Schen- gen-Visa sind mit Beschwerde beim Bundesverwaltungsgericht anfechtbar (Art. 31 ff. VGG i.V.m. Art. 5 VwVG). Das Rechtsmittelverfahren richtet sich nach dem VwVG, soweit das VGG nichts anderes bestimmt (Art. 37 VGG).</w:t>
      </w:r>
    </w:p>
    <w:p>
      <w:r>
        <w:rPr>
          <w:b/>
        </w:rPr>
        <w:t>E. 1.2</w:t>
      </w:r>
    </w:p>
    <w:p>
      <w:r>
        <w:t>Die Beschwerdeführenden haben am vorangegangenen Einsprache- verfahren teilgenommen und sind als Verfügungsadressat sowie Gastge- ber durch den angefochtenen Entscheid besonders berührt. Sie sind zur Erhebung der Beschwerde legitimiert (Art. 48 Abs. 1 VwVG).</w:t>
      </w:r>
    </w:p>
    <w:p>
      <w:r>
        <w:rPr>
          <w:b/>
        </w:rPr>
        <w:t>E. 1.3</w:t>
      </w:r>
    </w:p>
    <w:p>
      <w:r>
        <w:t>Obwohl der ursprünglich anberaumte Besuchszeitraum bereits verstri- chen ist, muss aufgrund des Einreichens einer Beschwerde beim Bundes- verwaltungsgericht auf ein fortbestehendes Rechtsschutzinteresse ge- schlossen werden (Art. 48 Abs. 1 VwVG; vgl. Urteile des Bundesverwal- tungsgerichts F-2086/2020 vom 17 Mai 2021 E. 1.3; F-4669/2017 vom 17 Mai 2019 E. 1.3).</w:t>
      </w:r>
    </w:p>
    <w:p>
      <w:r>
        <w:rPr>
          <w:b/>
        </w:rPr>
        <w:t>E. 1.4</w:t>
      </w:r>
    </w:p>
    <w:p>
      <w:r>
        <w:t>Auf die frist- und formgerechte Beschwerde ist einzutreten (vgl. Art. 50 Abs. 1 und 52 Abs. 1 VwVG). In der vorliegenden Angelegenheit entschei- det das Bundesverwaltungsgericht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w:t>
      </w:r>
    </w:p>
    <w:p>
      <w:r>
        <w:rPr>
          <w:b/>
        </w:rPr>
        <w:t>E. 3</w:t>
      </w:r>
    </w:p>
    <w:p>
      <w:r>
        <w:t>Der angefochtenen Verfügung liegen die Gesuche von zwei syrischen Staatsangehörigen um Erteilung von Visa für einen 85 Tage dauernden</w:t>
      </w:r>
    </w:p>
    <w:p>
      <w:r>
        <w:t>F-3685/2022 Seite 4 Besuchsaufenthalt in der Schweiz zugrunde. Da sich die Gesuchstellenden nicht auf die EU/EFTA-Personenfreizügigkeitsabkommen berufen können und die beabsichtigte Aufenthaltsdauer 90 Tage nicht überschreitet, fällt die Streitsache in den persönlichen und sachlichen Anwendungsbereich der Schengen-Assoziierungsabkommen, mit denen die Schweiz den Schen- gen-Besitzstand und die dazugehörigen gemeinschaftsrechtlichen Rechts- akte übernommen hat (BVGE 2014/1 E. 3). Das AIG (SR 142.20) und seine Ausführungsbestimmungen gelangen nur soweit zur Anwendung, als die Schengen-Assoziierungsabkommen keine abweichenden Bestimmungen enthalten (Art. 2 Abs. 4 AIG).</w:t>
      </w:r>
    </w:p>
    <w:p>
      <w:r>
        <w:rPr>
          <w:b/>
        </w:rPr>
        <w:t>E. 4.1</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 setz über Ausländerinnen und Ausländer vom 8. März 2002, BBl 2002 3774; BGE 135 II 1 E. 1.1 m.H.). Das Schengen-Recht schränkt die natio- nalstaatlichen Befugnisse insoweit ein, als es einheitliche Voraussetzun- 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(vgl. Art. 6 Abs. 1 Bst. b der Verordnung [EG] Nr. 2016/399 des Europäischen Parlaments und des Ra- tes vom 9. März 2016 über einen Gemeinschaftskodex für das Überschrei- ten der Grenzen durch Personen [Kodifizierter Text] [Schengener Grenz- kodex, SGK, ABI. L 77/1 vom 23.03.2016]; Art. 6 Abs. 1 der Verordnung über die Einreise und die Visumserteilung vom 15. August 2018 [VEV, SR 142.204]; Art. 5 Abs. 1 Bst. a AIG). Ferner benötigen sie ein Visum, sofern dieses erforderlich ist gemäss der Verordnung (EU) 2018/1806 des Euro- päischen Parlaments und des Rates vom 14. November 2018 zur Aufstel- lung der Liste der Drittländer, deren Staatsangehörige beim Überschreiten der Aussengrenzen im Besitz eines Visums sein müssen, sowie der Liste</w:t>
      </w:r>
    </w:p>
    <w:p>
      <w:r>
        <w:t>F-3685/2022 Seite 5 der Drittländer, deren Staatsangehörige von dieser Visumpflicht befreit sind (ABl. L 303/39 vom 28. November 2018). Als syrische Staatsangehörige unterliegen die Gesuchstellenden unbestrit- tenermassen der Visumspflicht (vgl. Art. 8 Abs. 1 VEV i.V.m. Anhang I Ver- ordnung [EU] 2018/1806; Art. 6 Abs. 1 Bst. b SGK).</w:t>
      </w:r>
    </w:p>
    <w:p>
      <w:r>
        <w:rPr>
          <w:b/>
        </w:rPr>
        <w:t>E. 4.3</w:t>
      </w:r>
    </w:p>
    <w:p>
      <w:r>
        <w:t>Im Weiteren müssen Drittstaatsangehörige den Zweck und die Um- stände ihres beabsichtigten Aufenthalts belegen und hierfür über ausrei- chende finanzielle Mittel verfügen sowie nicht im Schengener Informations- system (SIS) zur Einreiseverweigerung ausgeschrieben sein und keine Gefahr für die öffentliche Ordnung und Gesundheit, die innere Sicherheit oder die internationalen Beziehungen eines Mitgliedstaats darstellen (vgl. Art. 3 Abs. 1 VEV i.V.m. Art. 6 Abs. 1 Bst. c ff. SGK; Art. 14 Abs. 1 und Art. 21 Abs. 1 der Verordnung [EG] Nr. 810/2009 des Europäischen Parlaments und des Rates vom 13. Juli 2009 über einen Visakodex der Gemeinschaft [nachfolgend: Visakodex, VK, ABl. L 243 vom 15. September 2009]). Schliesslich müssen Drittstaatsangehörige Gewähr für ihre fristgerechte Wiederausreise Gewähr bieten (Art. 5 Abs. 2 AIG). Wenn sie nicht bereit sind, das Hoheitsgebiet des Schengen-Raums fristgerecht wieder zu ver- lassen, ist eine Gefahr für die öffentliche Ordnung im Sinne von Art. 6 Abs. 1 Bst. e SGK anzunehmen (BVGE 2014/1 E. 4.3 m.H). Die Behörden haben daher die Gefahr einer nicht fristgerechten Ausreise zu prüfen (Art. 14 Abs. 1 Bst. d und Art. 21 Abs. 1 VK). Bestehen Zweifel daran, ist das Visum zu verweigern (Art. 32 Abs. 1 Bst. b VK). Bei der Beurteilung, ob die Voraussetzungen für die Visumerteilung erfüllt sind, kommt den Behörden ein weiter Beurteilungsspielraum zu (BVGE 2014/1 E. 4.1.5).</w:t>
      </w:r>
    </w:p>
    <w:p>
      <w:r>
        <w:rPr>
          <w:b/>
        </w:rPr>
        <w:t>E. 4.4</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der betreffende Mitglied- staat unter anderem Gebrauch machen, wenn er es aus humanitären Gründen, aus solchen des nationalen Interesses oder aufgrund internatio- naler Verpflichtungen für erforderlich hält (vgl. Art. 3 Abs. 4 und 5 VEV; Art. 25 Abs. 1 Bst. a Visakodex; Art. 6 Abs. 5 Bst. c SGK).</w:t>
      </w:r>
    </w:p>
    <w:p>
      <w:r>
        <w:rPr>
          <w:b/>
        </w:rPr>
        <w:t>E. 5.1</w:t>
      </w:r>
    </w:p>
    <w:p>
      <w:r>
        <w:t>Bei der Beurteilung des Kriteriums der gesicherten Wiederausreise muss ein zukünftiges Verhalten beurteilt werden, weshalb darüber eine Prognose zu erstellen ist. Hierzu sind alle Umstände des Einzelfalles zu</w:t>
      </w:r>
    </w:p>
    <w:p>
      <w:r>
        <w:t>F-3685/2022 Seite 6 würdigen. Die Beweisführungslast obliegt den drittstaatsangehörigen Per- sonen (Art. 14 Abs. 1 Bst. d VK; Art. 14 Abs. 3 i.V.m. Anhang II VK; Art. 5 Abs. 1 Bst. c SGK; Art. 5 Abs. 2 AIG; BVGE 2014/1 E. 4.4 und E. 6.1).</w:t>
      </w:r>
    </w:p>
    <w:p>
      <w:r>
        <w:rPr>
          <w:b/>
        </w:rPr>
        <w:t>E. 5.2</w:t>
      </w:r>
    </w:p>
    <w:p>
      <w:r>
        <w:t>Anhaltspunkte für die Gewähr einer fristgerechten Wiederausreise kön- nen sich zunächst aus der allgemeinen Situation im Herkunftsland der dritt- staatsangehörigen Personen ergeben. Namentlich bei Einreisegesuchen von Personen aus Staaten bzw. Regionen mit politisch, wirtschaftlich und sozial ungünstigen Verhältnissen rechtfertigt sich eine strengere Praxis, da die persönliche Interessenlage in solchen Fällen erfahrungsgemäss häufig nicht mit dem Ziel und Zweck einer zeitlich befristeten Einreisebewilligung im Einklang steht (BVGE 2014/1 E. 6.1 m.H.).</w:t>
      </w:r>
    </w:p>
    <w:p>
      <w:r>
        <w:rPr>
          <w:b/>
        </w:rPr>
        <w:t>E. 5.3</w:t>
      </w:r>
    </w:p>
    <w:p>
      <w:r>
        <w:t>Das Herkunftsland der Gesuchstellenden befindet sich politisch und wirtschaftlich in einer äusserst schwierigen Lage. In weiten Teilen Syriens steht die Zivilbevölkerung aufgrund von bewaffneten Konflikten, die seit den Aufständen des «Arabischen Frühlings» im Jahr 2011 andauern, unter einem starken Auswanderungsdruck (vgl. Urteile des BVGer F-1986/2022 vom 10. Januar 2023 E. 6.2 m.H.; F-643/2022 vom 17. März 2022 E. 4.2). Viele sind in die Nachbarstaaten geflohen und versuchen, ihre Flucht ins- besondere nach Europa fortzusetzen (vgl. Asylstatistik 2022 des SEM vom 13. Februar 2023, S. 3 und 14 ff., &lt; stat-jahr-2022-kommentar (1).pdf &gt;, abgerufen am 13.12 2023). Die Einschätzung der allgemeinen Situation in Syrien durch die Vorinstanz ist somit nicht zu beanstanden.</w:t>
      </w:r>
    </w:p>
    <w:p>
      <w:r>
        <w:rPr>
          <w:b/>
        </w:rPr>
        <w:t>E. 5.4</w:t>
      </w:r>
    </w:p>
    <w:p>
      <w:r>
        <w:t>Allein aufgrund der Situation im Heimatstaat darf nicht auf eine unzu- reichend gesicherte Wiederausreise geschlossen werden. Bei der Risiko- analyse sind sämtliche Gesichtspunkte des konkreten Einzelfalles zu be- rücksichtigen. Obliegt einer gesuchstellenden Person im Heimatland bei- spielsweise eine besondere berufliche, gesellschaftliche oder familiäre Verantwortung, kann dies die Prognose für eine anstandslose Wiederaus- reise begünstigen (BVGE 2014/1 E. 6.3.1 m.H). Angesichts der ange- spannten Sicherheitslage in Syrien und des vorangegangenen Gesuchs der Gesuchstellenden um ein humanitäres Visum (vgl. E. 5), müsste ihren sozio-ökonomischen Verpflichtungen vorliegend aber ein erhebliches Ge- wicht zukommen, damit ihre Rückkehr als wahrscheinlich gelten kann.</w:t>
      </w:r>
    </w:p>
    <w:p>
      <w:r>
        <w:rPr>
          <w:b/>
        </w:rPr>
        <w:t>E. 5.5</w:t>
      </w:r>
    </w:p>
    <w:p>
      <w:r>
        <w:t>Von einer besonders starken sozio-ökonomischen Einbettung der Ge- suchstellenden in Syrien, die sie selbst in einem fortgeschrittenen Alter von einer Emigration abhalten könnte, kann vorliegend jedoch nicht ausgegan- gen werden. Abgesehen von den zwei in der gleichen syrischen Region</w:t>
      </w:r>
    </w:p>
    <w:p>
      <w:r>
        <w:t>F-3685/2022 Seite 7 wohnenden Geschwistern des Gesuchstellers, lebt ein grosser Teil ihrer näheren Verwandtschaft in der Schweiz oder in Deutschland (vgl. BVGer- act. 1; SEM-act., S. 263 ff.). Darauf hinzuweisen ist auch, dass die Gesuch- stellenden ihre in Europa lebenden Verwandten auch ausserhalb des Schengen-Raums treffen können. Zugunsten einer Wiederausreise spricht vorliegend einzig der Besitz der Gesuchstellenden in Syrien, in Form von Grundstücken, einer Wohnung, sowie eines Kleidergeschäfts (vgl. BVGer- act. 8). Dieser Umstand allein kann aber keine hinreichende Gewähr für die fristgerechte Wiederausreise der Gesuchstellenden bieten, zumal ihr dortiger Besitz bei einer Ausreise in die Schweiz an ihre Familienmitglieder weitergegeben oder diesen wenigstens zur Verfügung gestellt werden könnte.</w:t>
      </w:r>
    </w:p>
    <w:p>
      <w:r>
        <w:rPr>
          <w:b/>
        </w:rPr>
        <w:t>E. 5.6</w:t>
      </w:r>
    </w:p>
    <w:p>
      <w:r>
        <w:t>Die Gesuchstellenden haben die Schweiz schliesslich bereits zu frühe- ren Zeitpunkten mehrmals um die Ausstellung von Visa ersucht. So wurden zwei Gesuche um Ausstellung von Schengen-Visa am 30. März 2020 so- wie am 29. Mai 2018 abgelehnt. Aufgrund eines am 6. Oktober 2017 ein- gereichten Gesuchs um ein humanitäres Visum gemäss Art. 4 Abs. 2 der Verordnung vom 15. August 2018 über die Einreise und die Visumerteilung (VEV, SR 142.204), welches mit Abschreibungsentscheid des Bundesver- waltungsgerichts F-3062/2018 vom 16. August 2018 rechtskräftig abgewie- sen wurde (vgl. SEM-act., S. 96), war zudem zum damaligen Zeitpunkt von der Einwanderungsbereitschaft der Gesuchstellenden in die Schweiz aus- zugehen. Demnach sind an der von ihnen behaupteten Absicht, nach ei- nem Aufenthalt in der Schweiz nach Syrien zurückzukehren, auch von die- sem Umstand her Zweifel angebracht, zumal sie nicht begründen, inwie- fern sich ihre Ausgangslage diesbezüglich in den letzten Jahren verändert haben sollte. Das Einreichen eines Gesuchs für einen kurzfristigen Aufent- halt nach Ablehnung eines früheren Gesuchs um einen langfristigen Auf- enthalt stellt ein Indiz für den Versuch der Umgehung der Einreisebestim- mungen dar (vgl. Urteile des Bundesverwaltungsgerichts F-4450/2022 vom 6. April 2023 E. 7.5.2; F-4219/2022 vom 17. März 2023. E. 7.4.2).</w:t>
      </w:r>
    </w:p>
    <w:p>
      <w:r>
        <w:rPr>
          <w:b/>
        </w:rPr>
        <w:t>E. 6</w:t>
      </w:r>
    </w:p>
    <w:p>
      <w:r>
        <w:t>Auch sind keine humanitären Gründe, nationalen Interessen oder interna- tionalen Verpflichtungen ersichtlich, die die Ausstellung eines Visums mit räumlich beschränkter Gültigkeit gebieten würden (vgl. Art. 5 Abs. 3 AIG; Art. 3 Abs. 4 VEV; Art. 25 Abs. 1 Bst. a VK; Art. 6 Abs. 5 Bst. c SGK).</w:t>
      </w:r>
    </w:p>
    <w:p>
      <w:r>
        <w:rPr>
          <w:b/>
        </w:rPr>
        <w:t>E. 7</w:t>
      </w:r>
    </w:p>
    <w:p>
      <w:r>
        <w:t>Die angefochtene Verfügung erweist sich unter Berücksichtigung der</w:t>
      </w:r>
    </w:p>
    <w:p>
      <w:r>
        <w:t>F-3685/2022 Seite 8 allgemeinen Situation im Herkunftsland und der persönlichen Hintergründe der Gesuchstellenden im Lichte von Art. 49 VwVG als rechtmässig.</w:t>
      </w:r>
    </w:p>
    <w:p>
      <w:r>
        <w:rPr>
          <w:b/>
        </w:rPr>
        <w:t>E. 8</w:t>
      </w:r>
    </w:p>
    <w:p>
      <w:r>
        <w:t>Bei diesem Ausgang des Verfahrens sind die Kosten den Beschwerdefüh- renden aufzuerlegen und auf CHF 800.– festzusetzen (vgl. Art. 63 Abs. 1 VwVG i.V.m. Art. 1 ff. des Reglements vom 21. Februar 2008 über die Kos- ten und Entschädigungen vor dem Bundesverwaltungsgericht [VGKE, SR 173.320.2]). (Dispositiv nächste Seite)</w:t>
      </w:r>
    </w:p>
    <w:p>
      <w:r>
        <w:t>F-3685/2022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