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F-3674/2016 vom 21. Dezember 2016</w:t>
      </w:r>
    </w:p>
    <w:p>
      <w:r>
        <w:t>Bundesverwaltungsgericht, 2016-12-21, IT</w:t>
      </w:r>
    </w:p>
    <w:p>
      <w:r>
        <w:rPr>
          <w:b/>
        </w:rPr>
        <w:t xml:space="preserve">Quelle: </w:t>
      </w:r>
      <w:r>
        <w:t>https://mcp.opencaselaw.ch/entscheid/bvger_F-3674_2016</w:t>
      </w:r>
    </w:p>
    <w:p>
      <w:r>
        <w:t>FR: TAF F-3674/2016 du 21 décembre 2016</w:t>
      </w:r>
    </w:p>
    <w:p>
      <w:r>
        <w:t>IT: TAF F-3674/2016 del 21 dicembre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La domanda di riesame (o riconsiderazione) consiste in una richiesta non sottoposta a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Cost. (cfr. DTF 127 I 133 consid. 6; 109 Ib 246 consid. 4a; DTAF 2010/27 consid. 2.1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in caso di modifica del diritto oggettivo, rispettivamente un cambiamento di legislazione la quale comporta una modifica considerevole delle circostanze.</w:t>
      </w:r>
    </w:p>
    <w:p>
      <w:r>
        <w:rPr>
          <w:b/>
        </w:rPr>
        <w:t>E. 3.2</w:t>
      </w:r>
    </w:p>
    <w:p>
      <w:r>
        <w:t>La procedura straordinaria (di revisione o di riesame) non deve comunque essere un mezzo per aggirare i termini di ricorso o continuare a rimettere in discussione una decisione cresciuta in giudicato (cfr. DTF 127 I 133 consid. 6 e 109 Ib 246 consid. 4a precitati; sentenza del TF 2C_335/2009 del 12 febbraio 2010; sentenze del TAF C-4447/2008 del 15 marzo 2010 consid. 3.2 e C-3061/2009 del 17 febbraio 2010 consid. 2.1 con riferimenti).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98 Ia 568 consid. 5b; sentenze del TAF C-4447/2008 del 15 marzo 2010 consid. 3.2 e C-3061/2009 del 17 febbraio 2010 consid. 2.1 precitate e riferimenti ivi indicati).</w:t>
      </w:r>
    </w:p>
    <w:p>
      <w:r>
        <w:rPr>
          <w:b/>
        </w:rPr>
        <w:t>E. 3.3</w:t>
      </w:r>
    </w:p>
    <w:p>
      <w:r>
        <w:t>In concreto l'autorità di prime cure è entrata nel merito della domanda di riesame, ha effettuato un esame materiale ed ha emesso una nuova decisione. Il Tribunale dispone perciò di piena cognizione per determinare se il divieto d'entrata è tuttora conforme al diritto federale. Per contro, la questione di sapere se la decisione originaria era giustificata non è più oggetto della presente procedura (DTAF 2008/24 consid. 2.2 e riferimenti ivi citati).</w:t>
      </w:r>
    </w:p>
    <w:p>
      <w:r>
        <w:rPr>
          <w:b/>
        </w:rPr>
        <w:t>E. 4.1</w:t>
      </w:r>
    </w:p>
    <w:p>
      <w:r>
        <w:t>Giusta l'art. 5 cpv. 1 LStr lo straniero che intende entrare in Svizzera deve 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non deve essere oggetto di una misura di respingimento (lett. d). Tale norma, relativa all'entrata in territorio svizzero, si applica soltanto se gli Accordi di associazione alla normativa di Schengen non contemplino disposizioni divergenti (art. 2 cpv. 4 LStr).</w:t>
      </w:r>
    </w:p>
    <w:p>
      <w:r>
        <w:rPr>
          <w:b/>
        </w:rPr>
        <w:t>E. 4.2</w:t>
      </w:r>
    </w:p>
    <w:p>
      <w:r>
        <w:t>Inoltre, ai sensi dell'art. 11 cpv. 1 LStr lo straniero che intende esercitare un'attività lucrativa in Svizzera necessita di un permesso indipendentemente dalla durata del soggiorno. Questa autorizzazione va richiesta all'autorità competente per il luogo di lavoro previsto. È considerata attività lucrativa, poco importa se svolta a titolo gratuito od oneroso, qualsiasi attività dipendente o indipendente normalmente esercitata dietro compenso (cpv. 2).</w:t>
      </w:r>
    </w:p>
    <w:p>
      <w:r>
        <w:rPr>
          <w:b/>
        </w:rPr>
        <w:t>E. 4.3</w:t>
      </w:r>
    </w:p>
    <w:p>
      <w:r>
        <w:t>Giusta l'art. 2 dell'ordinanza del 22 ottobre 2008 concernente l'entrata e il rilascio del visto (OEV, RS 142.204) le condizioni d'entrata per un soggiorno non superiore a 90 giorni o per un transito sono rette dall'art. 5 del regolamento (CE) n. 562/2006 del Parlamento europeo e del Consiglio del 15 marzo 2006, che istituisce un codice comunitario relativo al regime di attraversamento delle frontiere da parte delle persone (Codice frontiere Schengen GU L 105 del 13 aprile 2006, pag. 1; regolamento modificato l'ultima volta dal regolamento [UE] n° 610/2013, GU L182 del 29 giugno 2013, pag. 1).</w:t>
      </w:r>
    </w:p>
    <w:p>
      <w:r>
        <w:rPr>
          <w:b/>
        </w:rPr>
        <w:t>E. 4.4</w:t>
      </w:r>
    </w:p>
    <w:p>
      <w:r>
        <w:t>L'art. 5 del Codice frontiere Schengen, il cui contenuto corrisponde largamente al contenuto dell'art. 5 LStr sopra menzionato (cfr. sul tema Egli/Meyer, in: Caroni/Gächter/Thurnherr, Bundesgesetz über die Ausländerinnen und Ausländer, 2010, ad art. 5 LStr, n. marg. 14, pagg. 65-66) indica che per un soggiorno non superiore a tre mesi nell'arco di sei mesi, le condizioni d'ingresso per i cittadini di paesi terzi sono le seguenti: essere in possesso di uno o più documenti di viaggio validi che consentano di attraversare la frontiera (lett. a); essere in possesso di un visto valido, se richiesto a norma del regolamento (CE) n. 539/2001 del Consiglio, del 15 marzo 2001 (GU L 81 del 21 marzo 2001, pagg. 1-7), che adotta l'elenco dei paesi terzi i cui cittadini devono essere in possesso del visto all'atto dell'attraversamento delle frontiere esterne e l'elenco dei paesi terzi i cui cittadini sono esenti da tale obbligo, salvo che si sia in possesso di un permesso di soggiorno valido (lett.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(lett. c); non essere segnalato nel SIS ai fini della non ammissione (lett.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(lett. e).</w:t>
      </w:r>
    </w:p>
    <w:p>
      <w:r>
        <w:rPr>
          <w:b/>
        </w:rPr>
        <w:t>E. 4.5</w:t>
      </w:r>
    </w:p>
    <w:p>
      <w:r>
        <w:t>Ciò detto, l'art. 1 par. 2 del regolamento CE 539/2001 del Consiglio del 15 marzo 2001, che la Svizzera applica in quanto paese dello spazio Schengen, i cittadini degli Stati terzi che figurano all'allegato II del citato regolamento sono esentati dall'obbligo di visto ai sensi del par. 1 per soggiorni la cui durata globale non sia superiore a tre mesi. In proposito, essendo il Brasile contemplato nel sopracitato allegato II, la ricorrente, quale cittadina di detto paese soggiace all'obbligo di visto se desidera rimanere nello spazio Schengen per un periodo superiore a tre mesi. Essa deve essere in possesso di un permesso di soggiorno qualora desideri rimanere in Svizzera per un periodo più lungo (cfr. art. 10 LStr in relazione con l'art. 9 cpv. 1 dell'ordinanza sull'ammissione, il soggiorno e l'attività lucrativa del 24 ottobre 2007 [OASA, RS 142.201]). Nell'ipotesi in cui sia sua intenzione esercitare un'attività lucrativa l'interessata è tenuta a richiedere un'autorizzazione in tal senso (cfr. art. 11 cpv. 1 LStr).</w:t>
      </w:r>
    </w:p>
    <w:p>
      <w:r>
        <w:rPr>
          <w:b/>
        </w:rPr>
        <w:t>E. 4.6</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4-23), entrato in vigore il 9 aprile 2013 e abrogante (cfr. decisione del Consiglio 2013/158/EU del 7 marzo 2013, GU L 87, pagg. 10-11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art. 13 cpv. 1 in relazione con l'art. 5 cpv. 4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1-58]).</w:t>
      </w:r>
    </w:p>
    <w:p>
      <w:r>
        <w:rPr>
          <w:b/>
        </w:rPr>
        <w:t>E. 5.1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5.2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3424 [di seguito: Messaggio LStr]).</w:t>
      </w:r>
    </w:p>
    <w:p>
      <w:r>
        <w:rPr>
          <w:b/>
        </w:rPr>
        <w:t>E. 5.3</w:t>
      </w:r>
    </w:p>
    <w:p>
      <w:r>
        <w:t>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5.4</w:t>
      </w:r>
    </w:p>
    <w:p>
      <w:r>
        <w:t>Ciò detto, ne discende che i reati perpetrati contro le norme del diritto degli stranieri (ripetuto soggiorno illegale e ripetuta attività lucrativa senza autorizzazione) rappresentano delle violazioni di legge, sanzionate secondo l'art. 115 LStr, e possono in quanto tali portare all'emissione di un divieto d'entrata. Il medesimo ragionamento vale per quanto concerne l'imputazione di ripetuto esercizio illecito della prostituzione, previso dal combinato disposto degli art. 199 CP, art. 5 cpv. 1 e art. 8 della legge del Canton Ticino sull'esercizio della prostituzione (RL 1.4.1.3). Il divieto d'entrata non deve essere tuttavia interpretato quale sanzione dal carattere penale bensì come una misura di protezione a carattere preventivo contro possibili turbative future (cfr. Messaggio LStr, FF 2002 3327, pag. 3428).</w:t>
      </w:r>
    </w:p>
    <w:p>
      <w:r>
        <w:rPr>
          <w:b/>
        </w:rPr>
        <w:t>E. 5.5</w:t>
      </w:r>
    </w:p>
    <w:p>
      <w:r>
        <w:t>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6.1</w:t>
      </w:r>
    </w:p>
    <w:p>
      <w:r>
        <w:t>Nella fattispecie in disanima, la SEM ha pronunciato nei confronti di A._______ un divieto d'entrata della durata di tre anni, ossia fino al 16 marzo 2017, ritenendo che i comportamenti dell'interessata, condannata per infrazione alla LStr (ripetuto soggiorno illegale e ripetuta attività lucrativa senza autorizzazione giusta l'art. 115 LStr) nonché per esercizio illecito della prostituzione, costituiscono una grave violazione ed esposizione a pericolo dell'ordine e della sicurezza pubblici.</w:t>
      </w:r>
    </w:p>
    <w:p>
      <w:r>
        <w:rPr>
          <w:b/>
        </w:rPr>
        <w:t>E. 6.2</w:t>
      </w:r>
    </w:p>
    <w:p>
      <w:r>
        <w:t>Dagli atti di causa si evince che la condanna di cui sopra è stata pronunciata in quanto la ricorrente ha ripetutamente soggiornato illegalmente e svolto un'attività lucrativa senza autorizzazione in più località del Canton Ticino nel periodo compreso tra il 3 agosto 2006 ed il 10 febbraio 2011. A partire dal 25 gennaio 2010 A._______ ha inoltre illecitamente esercitato il meretricio. Va rilevato che l'interessata è stata assolta da quest'ultima imputazione per il periodo compreso tra i il 3 agosto 2006 ed il 24 gennaio 2010 in quanto per questo reato era intervenuta la prescrizione ai sensi dell'art. 109 CP (cfr. sentenza della Corte di appello e di revisione penale del 6 settembre 2013 consid. 8.4, incarto Simic, pag. 15).</w:t>
      </w:r>
    </w:p>
    <w:p>
      <w:r>
        <w:rPr>
          <w:b/>
        </w:rPr>
        <w:t>E. 6.3</w:t>
      </w:r>
    </w:p>
    <w:p>
      <w:r>
        <w:t>Ne discende che questi comportamenti, sanzionati da specifiche norme del diritto penale, possono portare all'emissione di un divieto d'entrata. Essi costituiscono indubbiamente una violazione e mettono in pericolo l'ordine e la sicurezza pubblici, adempiendo perciò ai requisiti dell'art. 67 cpv. 2 lett. a LStr.</w:t>
      </w:r>
    </w:p>
    <w:p>
      <w:r>
        <w:rPr>
          <w:b/>
        </w:rPr>
        <w:t>E. 7.1</w:t>
      </w:r>
    </w:p>
    <w:p>
      <w:r>
        <w:t>Occorre ora stabilire se il divieto d'entrata della durata di tre anni pronunciato dalla SEM nei confronti dell'interessata sia conforme al principio di proporzionalità, e procedendo ad un apprezzamento degli interessi privati e pubblici in causa, valutare se sia adeguato alle circostanze del caso concreto.</w:t>
      </w:r>
    </w:p>
    <w:p>
      <w:r>
        <w:rPr>
          <w:b/>
        </w:rPr>
        <w:t>E. 7.2</w:t>
      </w:r>
    </w:p>
    <w:p>
      <w:r>
        <w:t>Quo all'interesse pubblico all'allontanamento della ricorrente dal territorio elvetico, si è già detto ai considerandi precedenti.</w:t>
      </w:r>
    </w:p>
    <w:p>
      <w:r>
        <w:rPr>
          <w:b/>
        </w:rPr>
        <w:t>E. 7.3</w:t>
      </w:r>
    </w:p>
    <w:p>
      <w:r>
        <w:t>In merito agli interessi privati, la ricorrente si è richiamata alla presenza in Italia di alcuni amici e dell'impossibilità di potergli rendere visita a causa dell'estensione del divieto d'entrata all'insieme degli Stati Schengen.</w:t>
      </w:r>
    </w:p>
    <w:p>
      <w:r>
        <w:rPr>
          <w:b/>
        </w:rPr>
        <w:t>E. 7.4</w:t>
      </w:r>
    </w:p>
    <w:p>
      <w:r>
        <w:t>Questa censura ricorsuale è votata all'insuccesso. Il Tribunale considera infatti che il desiderio di fare visita a non meglio precisati amici in Italia non costituisce un interesse privato preponderante rispetto a quello delle autorità di salvaguardare l'ordine e la sicurezza pubblici. Va altresì rilevato come dagli atti emerge che in passato A._______ si sia recata in Europa unicamente con l'intento di esercitare l'attività di prostituta.</w:t>
      </w:r>
    </w:p>
    <w:p>
      <w:r>
        <w:rPr>
          <w:b/>
        </w:rPr>
        <w:t>E. 7.5</w:t>
      </w:r>
    </w:p>
    <w:p>
      <w:r>
        <w:t>L'insorgente ha altresì sostenuto di non rappresentare una minaccia attuale per l'ordine e la sicurezza pubblici, sottolineando di non avere più dato adito a critiche quanto al suo comportamento, vista l'assenza di nuove condanne.</w:t>
      </w:r>
    </w:p>
    <w:p>
      <w:r>
        <w:rPr>
          <w:b/>
        </w:rPr>
        <w:t>E. 7.6</w:t>
      </w:r>
    </w:p>
    <w:p>
      <w:r>
        <w:t>Al proposito il Tribunale non può che confermare l'apprezzamento dell'autorità inferiore. Un comportamento rispettoso dell'ordinamento giuridico non rappresenta nulla di eccezionale, al contrario è quanto è lecito attendersi da qualsiasi cittadino. Una condotta apparentemente onesta negli ultimi tre anni, a fronte di delitti commessi sull'arco di un lungo periodo di tempo - ovvero dall'ottobre 2006 al febbraio 2011 - non costituisce nemmeno un motivo di riesame (cfr. consid. 3.1 supra).</w:t>
      </w:r>
    </w:p>
    <w:p>
      <w:r>
        <w:rPr>
          <w:b/>
        </w:rPr>
        <w:t>E. 7.7</w:t>
      </w:r>
    </w:p>
    <w:p>
      <w:r>
        <w:t>Ciò posto, il Tribunale considera che l'interesse pubblico all'allontanamento della ricorrente dalla Svizzera e dal Liechtenstein prevale su quello di quest'ultima ad entrarvi. Di conseguenza, da una corretta valutazione degli interessi pubblici e privati in gioco, emerge che il divieto d'entrata di tre anni è adeguato alle circostanze del caso concreto.</w:t>
      </w:r>
    </w:p>
    <w:p>
      <w:r>
        <w:rPr>
          <w:b/>
        </w:rPr>
        <w:t>E. 8</w:t>
      </w:r>
    </w:p>
    <w:p>
      <w:r>
        <w:t>A._______ ha in via subordinata chiesto la cancellazione dell'iscrizione del divieto d'entrata nel SIS, ciò che gli impedisce di potersi recare in Italia. Per i motivi esposti ai considerandi precedenti il Tribunale considera che detta censura non permette di giungere ad altra conclusione che l'interesse pubblico all'allontanamento dell'interessato dal territorio della Confederazione e dall'aera Schengen prevalga su quello privato a potervi entrare, fermo restando che, come precedentemente rilevato al consid. 4.6, la ricorrente ha la facoltà di chiedere alla competenti autorità italiane il rilascio di un'autorizzazione per entrare in Italia indipendentemente dall'iscrizione nel SIS del suo divieto d'entrata. L'iscrizione dell'interessata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dell'interessata sul loro territorio per motivi seri, o di emanare nei suoi confronti un visto con validità territoriale limitata (cfr. consid. 4.6 supra).</w:t>
      </w:r>
    </w:p>
    <w:p>
      <w:r>
        <w:rPr>
          <w:b/>
        </w:rPr>
        <w:t>E. 9</w:t>
      </w:r>
    </w:p>
    <w:p>
      <w:r>
        <w:t>Da quanto esposto discende che la SEM con la decisione del 18 maggio 2016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Le spese processuali di fr. 1'800.- che seguono la soccombenza, sono poste a carico della ricorrente (art. 63 cpv. 1 e 5 PA nonché art. 3 lett. b del regolamento sulle tasse e le spese ripetibili nelle cause dinanzi al Tribunale amministrativo federale del 21 febbraio 2008 [TS-TAF, RS 173.320.2]).</w:t>
      </w:r>
    </w:p>
    <w:p>
      <w:r>
        <w:rPr>
          <w:b/>
        </w:rPr>
        <w:t>E. 11</w:t>
      </w:r>
    </w:p>
    <w:p>
      <w:r>
        <w:t>Visto l'esito della procedura, non sono assegnate spese ripetibili.</w:t>
      </w:r>
    </w:p>
    <w:p>
      <w:r>
        <w:rPr>
          <w:b/>
        </w:rPr>
        <w:t>E. 12</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